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724" w:rsidRDefault="00D31724" w:rsidP="00D31724">
      <w:pPr>
        <w:pStyle w:val="Title"/>
        <w:rPr>
          <w:rFonts w:asciiTheme="minorHAnsi" w:hAnsiTheme="minorHAnsi"/>
          <w:b/>
          <w:szCs w:val="24"/>
        </w:rPr>
      </w:pPr>
    </w:p>
    <w:p w:rsidR="00D31724" w:rsidRDefault="00D31724" w:rsidP="00D31724">
      <w:pPr>
        <w:pStyle w:val="Title"/>
        <w:rPr>
          <w:rFonts w:asciiTheme="minorHAnsi" w:hAnsiTheme="minorHAnsi"/>
          <w:b/>
          <w:szCs w:val="24"/>
        </w:rPr>
      </w:pPr>
      <w:r>
        <w:rPr>
          <w:rFonts w:asciiTheme="minorHAnsi" w:hAnsiTheme="minorHAnsi"/>
          <w:b/>
          <w:szCs w:val="24"/>
        </w:rPr>
        <w:t>ELECTION EXEMPTIONS – COUNTERPART FEDERAL BODY</w:t>
      </w:r>
    </w:p>
    <w:p w:rsidR="00D31724" w:rsidRDefault="00D31724" w:rsidP="00D31724">
      <w:pPr>
        <w:jc w:val="center"/>
        <w:rPr>
          <w:rFonts w:asciiTheme="minorHAnsi" w:hAnsiTheme="minorHAnsi"/>
          <w:sz w:val="24"/>
          <w:szCs w:val="24"/>
        </w:rPr>
      </w:pPr>
    </w:p>
    <w:p w:rsidR="00D31724" w:rsidRDefault="00D31724" w:rsidP="00D31724">
      <w:pPr>
        <w:jc w:val="left"/>
        <w:rPr>
          <w:rFonts w:asciiTheme="minorHAnsi" w:hAnsiTheme="minorHAnsi"/>
          <w:sz w:val="24"/>
          <w:szCs w:val="24"/>
        </w:rPr>
      </w:pPr>
    </w:p>
    <w:p w:rsidR="00D31724" w:rsidRDefault="00D31724" w:rsidP="00D31724">
      <w:pPr>
        <w:jc w:val="left"/>
        <w:rPr>
          <w:rFonts w:asciiTheme="minorHAnsi" w:hAnsiTheme="minorHAnsi"/>
          <w:sz w:val="24"/>
          <w:szCs w:val="24"/>
        </w:rPr>
      </w:pPr>
    </w:p>
    <w:p w:rsidR="00D31724" w:rsidRDefault="00D31724" w:rsidP="00D31724">
      <w:pPr>
        <w:jc w:val="left"/>
        <w:rPr>
          <w:rFonts w:asciiTheme="minorHAnsi" w:hAnsiTheme="minorHAnsi"/>
          <w:sz w:val="24"/>
          <w:szCs w:val="24"/>
        </w:rPr>
      </w:pPr>
      <w:r>
        <w:rPr>
          <w:rFonts w:asciiTheme="minorHAnsi" w:hAnsiTheme="minorHAnsi"/>
          <w:sz w:val="24"/>
          <w:szCs w:val="24"/>
        </w:rPr>
        <w:t>INDUSTRIAL RELATIONS ACT 2016 – SECTIONS 597, 802</w:t>
      </w:r>
    </w:p>
    <w:p w:rsidR="00D31724" w:rsidRDefault="00D31724" w:rsidP="00D31724">
      <w:pPr>
        <w:jc w:val="left"/>
        <w:rPr>
          <w:rFonts w:asciiTheme="minorHAnsi" w:hAnsiTheme="minorHAnsi"/>
          <w:sz w:val="24"/>
          <w:szCs w:val="24"/>
        </w:rPr>
      </w:pPr>
      <w:r>
        <w:rPr>
          <w:rFonts w:asciiTheme="minorHAnsi" w:hAnsiTheme="minorHAnsi"/>
          <w:sz w:val="24"/>
          <w:szCs w:val="24"/>
        </w:rPr>
        <w:t>INDUSTRIAL RELATIONS REGULATION 2018 – SECTIONS 18, 19, 24, 25</w:t>
      </w:r>
    </w:p>
    <w:p w:rsidR="00D31724" w:rsidRDefault="00D31724" w:rsidP="00D31724">
      <w:pPr>
        <w:jc w:val="left"/>
        <w:rPr>
          <w:rFonts w:asciiTheme="minorHAnsi" w:hAnsiTheme="minorHAnsi"/>
          <w:sz w:val="24"/>
          <w:szCs w:val="24"/>
        </w:rPr>
      </w:pPr>
      <w:r>
        <w:rPr>
          <w:rFonts w:asciiTheme="minorHAnsi" w:hAnsiTheme="minorHAnsi"/>
          <w:sz w:val="24"/>
          <w:szCs w:val="24"/>
        </w:rPr>
        <w:t>INDUSTRIAL RELATIONS (TRIBUNAL) RULES 2011 – SECTION 203</w:t>
      </w:r>
    </w:p>
    <w:p w:rsidR="00D31724" w:rsidRDefault="00D31724" w:rsidP="00D31724">
      <w:pPr>
        <w:jc w:val="left"/>
        <w:rPr>
          <w:rFonts w:asciiTheme="minorHAnsi" w:hAnsiTheme="minorHAnsi"/>
          <w:sz w:val="24"/>
          <w:szCs w:val="24"/>
        </w:rPr>
      </w:pPr>
    </w:p>
    <w:p w:rsidR="00D31724" w:rsidRDefault="00D31724" w:rsidP="00D31724">
      <w:pPr>
        <w:jc w:val="left"/>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0"/>
        <w:gridCol w:w="1368"/>
        <w:gridCol w:w="1068"/>
      </w:tblGrid>
      <w:tr w:rsidR="00D31724" w:rsidTr="00D31724">
        <w:tc>
          <w:tcPr>
            <w:tcW w:w="708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31724" w:rsidRDefault="00D31724">
            <w:pPr>
              <w:rPr>
                <w:rFonts w:asciiTheme="minorHAnsi" w:hAnsiTheme="minorHAnsi"/>
                <w:b/>
                <w:color w:val="000000"/>
                <w:sz w:val="24"/>
                <w:szCs w:val="24"/>
              </w:rPr>
            </w:pPr>
            <w:r>
              <w:rPr>
                <w:rFonts w:asciiTheme="minorHAnsi" w:hAnsiTheme="minorHAnsi"/>
                <w:b/>
                <w:color w:val="000000"/>
                <w:sz w:val="24"/>
                <w:szCs w:val="24"/>
              </w:rPr>
              <w:t>There is a counterpart federal body if -</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31724" w:rsidRDefault="00D31724">
            <w:pPr>
              <w:rPr>
                <w:rFonts w:asciiTheme="minorHAnsi" w:hAnsiTheme="minorHAnsi"/>
                <w:b/>
                <w:color w:val="000000"/>
                <w:sz w:val="24"/>
                <w:szCs w:val="24"/>
              </w:rPr>
            </w:pPr>
            <w:r>
              <w:rPr>
                <w:rFonts w:asciiTheme="minorHAnsi" w:hAnsiTheme="minorHAnsi"/>
                <w:b/>
                <w:color w:val="000000"/>
                <w:sz w:val="24"/>
                <w:szCs w:val="24"/>
              </w:rPr>
              <w:t>Act section</w:t>
            </w: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31724" w:rsidRDefault="00D31724">
            <w:pPr>
              <w:autoSpaceDE w:val="0"/>
              <w:autoSpaceDN w:val="0"/>
              <w:adjustRightInd w:val="0"/>
              <w:rPr>
                <w:rFonts w:asciiTheme="minorHAnsi" w:hAnsiTheme="minorHAnsi"/>
                <w:sz w:val="22"/>
                <w:szCs w:val="22"/>
                <w:lang w:eastAsia="en-AU"/>
              </w:rPr>
            </w:pPr>
            <w:r>
              <w:rPr>
                <w:rFonts w:asciiTheme="minorHAnsi" w:hAnsiTheme="minorHAnsi"/>
                <w:bCs/>
                <w:sz w:val="22"/>
                <w:szCs w:val="22"/>
              </w:rPr>
              <w:t>√  or X or</w:t>
            </w:r>
          </w:p>
          <w:p w:rsidR="00D31724" w:rsidRDefault="00D31724">
            <w:pPr>
              <w:rPr>
                <w:rFonts w:asciiTheme="minorHAnsi" w:hAnsiTheme="minorHAnsi"/>
                <w:b/>
                <w:color w:val="000000"/>
                <w:sz w:val="24"/>
                <w:szCs w:val="24"/>
              </w:rPr>
            </w:pPr>
            <w:r>
              <w:rPr>
                <w:rFonts w:asciiTheme="minorHAnsi" w:hAnsiTheme="minorHAnsi"/>
                <w:bCs/>
                <w:sz w:val="22"/>
                <w:szCs w:val="22"/>
              </w:rPr>
              <w:t>n/a</w:t>
            </w:r>
          </w:p>
        </w:tc>
      </w:tr>
      <w:tr w:rsidR="00D31724" w:rsidTr="00D31724">
        <w:trPr>
          <w:trHeight w:val="3238"/>
        </w:trPr>
        <w:tc>
          <w:tcPr>
            <w:tcW w:w="7083" w:type="dxa"/>
            <w:tcBorders>
              <w:top w:val="single" w:sz="4" w:space="0" w:color="auto"/>
              <w:left w:val="single" w:sz="4" w:space="0" w:color="auto"/>
              <w:bottom w:val="single" w:sz="4" w:space="0" w:color="auto"/>
              <w:right w:val="single" w:sz="4" w:space="0" w:color="auto"/>
            </w:tcBorders>
            <w:hideMark/>
          </w:tcPr>
          <w:p w:rsidR="00D31724" w:rsidRDefault="00D31724" w:rsidP="00BD439D">
            <w:pPr>
              <w:pStyle w:val="ListParagraph"/>
              <w:numPr>
                <w:ilvl w:val="0"/>
                <w:numId w:val="1"/>
              </w:numPr>
              <w:tabs>
                <w:tab w:val="clear" w:pos="567"/>
                <w:tab w:val="clear" w:pos="851"/>
                <w:tab w:val="left" w:pos="313"/>
              </w:tabs>
              <w:ind w:hanging="720"/>
              <w:rPr>
                <w:rFonts w:asciiTheme="minorHAnsi" w:hAnsiTheme="minorHAnsi"/>
                <w:color w:val="000000"/>
                <w:sz w:val="24"/>
                <w:szCs w:val="24"/>
              </w:rPr>
            </w:pPr>
            <w:r>
              <w:rPr>
                <w:rFonts w:asciiTheme="minorHAnsi" w:hAnsiTheme="minorHAnsi"/>
                <w:color w:val="000000"/>
                <w:sz w:val="24"/>
                <w:szCs w:val="24"/>
              </w:rPr>
              <w:t>a substantial number of members of the State body are –</w:t>
            </w:r>
          </w:p>
          <w:p w:rsidR="00D31724" w:rsidRDefault="00D31724" w:rsidP="00BD439D">
            <w:pPr>
              <w:pStyle w:val="ListParagraph"/>
              <w:numPr>
                <w:ilvl w:val="0"/>
                <w:numId w:val="2"/>
              </w:numPr>
              <w:tabs>
                <w:tab w:val="clear" w:pos="567"/>
                <w:tab w:val="left" w:pos="313"/>
                <w:tab w:val="left" w:pos="709"/>
              </w:tabs>
              <w:ind w:left="738" w:hanging="425"/>
              <w:rPr>
                <w:rFonts w:asciiTheme="minorHAnsi" w:hAnsiTheme="minorHAnsi"/>
                <w:color w:val="000000"/>
                <w:sz w:val="24"/>
                <w:szCs w:val="24"/>
              </w:rPr>
            </w:pPr>
            <w:r>
              <w:rPr>
                <w:rFonts w:asciiTheme="minorHAnsi" w:hAnsiTheme="minorHAnsi"/>
                <w:color w:val="000000"/>
                <w:sz w:val="24"/>
                <w:szCs w:val="24"/>
              </w:rPr>
              <w:t>members or eligible to be members of the federal body, or</w:t>
            </w:r>
          </w:p>
          <w:p w:rsidR="00D31724" w:rsidRDefault="00D31724" w:rsidP="00BD439D">
            <w:pPr>
              <w:pStyle w:val="ListParagraph"/>
              <w:numPr>
                <w:ilvl w:val="0"/>
                <w:numId w:val="2"/>
              </w:numPr>
              <w:tabs>
                <w:tab w:val="left" w:pos="313"/>
                <w:tab w:val="left" w:pos="709"/>
              </w:tabs>
              <w:ind w:left="738" w:hanging="425"/>
              <w:rPr>
                <w:rFonts w:asciiTheme="minorHAnsi" w:hAnsiTheme="minorHAnsi"/>
                <w:color w:val="000000"/>
                <w:sz w:val="24"/>
                <w:szCs w:val="24"/>
              </w:rPr>
            </w:pPr>
            <w:r>
              <w:rPr>
                <w:rFonts w:asciiTheme="minorHAnsi" w:hAnsiTheme="minorHAnsi"/>
                <w:color w:val="000000"/>
                <w:sz w:val="24"/>
                <w:szCs w:val="24"/>
              </w:rPr>
              <w:t>engaged in the same work, in aspects of the same work or in similar work as members of the federal body, or</w:t>
            </w:r>
          </w:p>
          <w:p w:rsidR="00D31724" w:rsidRDefault="00D31724" w:rsidP="00BD439D">
            <w:pPr>
              <w:pStyle w:val="ListParagraph"/>
              <w:numPr>
                <w:ilvl w:val="0"/>
                <w:numId w:val="2"/>
              </w:numPr>
              <w:tabs>
                <w:tab w:val="left" w:pos="313"/>
                <w:tab w:val="left" w:pos="709"/>
              </w:tabs>
              <w:ind w:left="738" w:hanging="425"/>
              <w:rPr>
                <w:rFonts w:asciiTheme="minorHAnsi" w:hAnsiTheme="minorHAnsi"/>
                <w:color w:val="000000"/>
                <w:sz w:val="24"/>
                <w:szCs w:val="24"/>
              </w:rPr>
            </w:pPr>
            <w:r>
              <w:rPr>
                <w:rFonts w:asciiTheme="minorHAnsi" w:hAnsiTheme="minorHAnsi"/>
                <w:color w:val="000000"/>
                <w:sz w:val="24"/>
                <w:szCs w:val="24"/>
              </w:rPr>
              <w:t>employed in the same or similar work by employers engaged in the same industry as members of the federal body, or</w:t>
            </w:r>
          </w:p>
          <w:p w:rsidR="00D31724" w:rsidRDefault="00D31724" w:rsidP="00BD439D">
            <w:pPr>
              <w:pStyle w:val="ListParagraph"/>
              <w:numPr>
                <w:ilvl w:val="0"/>
                <w:numId w:val="2"/>
              </w:numPr>
              <w:tabs>
                <w:tab w:val="left" w:pos="313"/>
                <w:tab w:val="left" w:pos="709"/>
              </w:tabs>
              <w:ind w:left="738" w:hanging="425"/>
              <w:rPr>
                <w:rFonts w:asciiTheme="minorHAnsi" w:hAnsiTheme="minorHAnsi"/>
                <w:color w:val="000000"/>
                <w:sz w:val="24"/>
                <w:szCs w:val="24"/>
              </w:rPr>
            </w:pPr>
            <w:r>
              <w:rPr>
                <w:rFonts w:asciiTheme="minorHAnsi" w:hAnsiTheme="minorHAnsi"/>
                <w:color w:val="000000"/>
                <w:sz w:val="24"/>
                <w:szCs w:val="24"/>
              </w:rPr>
              <w:t xml:space="preserve">engaged in work or in industries for which there is a community of interest between the federal and the state body, or </w:t>
            </w:r>
          </w:p>
          <w:p w:rsidR="00D31724" w:rsidRDefault="00D31724" w:rsidP="00BD439D">
            <w:pPr>
              <w:pStyle w:val="ListParagraph"/>
              <w:numPr>
                <w:ilvl w:val="0"/>
                <w:numId w:val="1"/>
              </w:numPr>
              <w:tabs>
                <w:tab w:val="clear" w:pos="284"/>
                <w:tab w:val="left" w:pos="0"/>
                <w:tab w:val="left" w:pos="313"/>
                <w:tab w:val="left" w:pos="425"/>
              </w:tabs>
              <w:ind w:left="313" w:hanging="313"/>
              <w:rPr>
                <w:rFonts w:asciiTheme="minorHAnsi" w:hAnsiTheme="minorHAnsi"/>
                <w:color w:val="000000"/>
                <w:sz w:val="24"/>
                <w:szCs w:val="24"/>
              </w:rPr>
            </w:pPr>
            <w:proofErr w:type="gramStart"/>
            <w:r>
              <w:rPr>
                <w:rFonts w:asciiTheme="minorHAnsi" w:hAnsiTheme="minorHAnsi"/>
                <w:color w:val="000000"/>
                <w:sz w:val="24"/>
                <w:szCs w:val="24"/>
              </w:rPr>
              <w:t>there</w:t>
            </w:r>
            <w:proofErr w:type="gramEnd"/>
            <w:r>
              <w:rPr>
                <w:rFonts w:asciiTheme="minorHAnsi" w:hAnsiTheme="minorHAnsi"/>
                <w:color w:val="000000"/>
                <w:sz w:val="24"/>
                <w:szCs w:val="24"/>
              </w:rPr>
              <w:t xml:space="preserve"> is an agreement in force under the Commonwealth Registered Organisations Act, section 151, between the federal body and the State body.</w:t>
            </w:r>
          </w:p>
        </w:tc>
        <w:tc>
          <w:tcPr>
            <w:tcW w:w="1417" w:type="dxa"/>
            <w:tcBorders>
              <w:top w:val="single" w:sz="4" w:space="0" w:color="auto"/>
              <w:left w:val="single" w:sz="4" w:space="0" w:color="auto"/>
              <w:bottom w:val="single" w:sz="4" w:space="0" w:color="auto"/>
              <w:right w:val="single" w:sz="4" w:space="0" w:color="auto"/>
            </w:tcBorders>
            <w:hideMark/>
          </w:tcPr>
          <w:p w:rsidR="00D31724" w:rsidRDefault="00D31724">
            <w:pPr>
              <w:rPr>
                <w:rFonts w:asciiTheme="minorHAnsi" w:hAnsiTheme="minorHAnsi"/>
                <w:color w:val="000000"/>
                <w:sz w:val="24"/>
                <w:szCs w:val="24"/>
              </w:rPr>
            </w:pPr>
            <w:r>
              <w:rPr>
                <w:rFonts w:asciiTheme="minorHAnsi" w:hAnsiTheme="minorHAnsi"/>
                <w:color w:val="000000"/>
                <w:sz w:val="24"/>
                <w:szCs w:val="24"/>
              </w:rPr>
              <w:t>597(1)</w:t>
            </w:r>
          </w:p>
        </w:tc>
        <w:tc>
          <w:tcPr>
            <w:tcW w:w="1129" w:type="dxa"/>
            <w:tcBorders>
              <w:top w:val="single" w:sz="4" w:space="0" w:color="auto"/>
              <w:left w:val="single" w:sz="4" w:space="0" w:color="auto"/>
              <w:bottom w:val="single" w:sz="4" w:space="0" w:color="auto"/>
              <w:right w:val="single" w:sz="4" w:space="0" w:color="auto"/>
            </w:tcBorders>
          </w:tcPr>
          <w:p w:rsidR="00D31724" w:rsidRDefault="00D31724">
            <w:pPr>
              <w:rPr>
                <w:rFonts w:asciiTheme="minorHAnsi" w:hAnsiTheme="minorHAnsi"/>
                <w:color w:val="000000"/>
                <w:sz w:val="24"/>
                <w:szCs w:val="24"/>
              </w:rPr>
            </w:pPr>
          </w:p>
        </w:tc>
      </w:tr>
    </w:tbl>
    <w:p w:rsidR="00D31724" w:rsidRDefault="00D31724" w:rsidP="00D31724">
      <w:pPr>
        <w:rPr>
          <w:rFonts w:asciiTheme="minorHAnsi" w:hAnsiTheme="minorHAns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9"/>
        <w:gridCol w:w="1388"/>
        <w:gridCol w:w="1069"/>
      </w:tblGrid>
      <w:tr w:rsidR="00D31724" w:rsidTr="00D31724">
        <w:tc>
          <w:tcPr>
            <w:tcW w:w="708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31724" w:rsidRDefault="00D31724">
            <w:pPr>
              <w:jc w:val="left"/>
              <w:rPr>
                <w:rFonts w:asciiTheme="minorHAnsi" w:hAnsiTheme="minorHAnsi"/>
                <w:b/>
                <w:sz w:val="24"/>
                <w:szCs w:val="24"/>
              </w:rPr>
            </w:pPr>
            <w:r>
              <w:rPr>
                <w:rFonts w:asciiTheme="minorHAnsi" w:hAnsiTheme="minorHAnsi"/>
                <w:b/>
                <w:sz w:val="24"/>
                <w:szCs w:val="24"/>
              </w:rPr>
              <w:t xml:space="preserve">The Registrar must be satisfied - </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31724" w:rsidRDefault="00D31724">
            <w:pPr>
              <w:jc w:val="left"/>
              <w:rPr>
                <w:rFonts w:asciiTheme="minorHAnsi" w:hAnsiTheme="minorHAnsi"/>
                <w:b/>
                <w:sz w:val="24"/>
                <w:szCs w:val="24"/>
              </w:rPr>
            </w:pPr>
            <w:r>
              <w:rPr>
                <w:rFonts w:asciiTheme="minorHAnsi" w:hAnsiTheme="minorHAnsi"/>
                <w:b/>
                <w:sz w:val="24"/>
                <w:szCs w:val="24"/>
              </w:rPr>
              <w:t>Act Section</w:t>
            </w: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31724" w:rsidRDefault="00D31724">
            <w:pPr>
              <w:autoSpaceDE w:val="0"/>
              <w:autoSpaceDN w:val="0"/>
              <w:adjustRightInd w:val="0"/>
              <w:rPr>
                <w:rFonts w:asciiTheme="minorHAnsi" w:hAnsiTheme="minorHAnsi"/>
                <w:sz w:val="22"/>
                <w:szCs w:val="22"/>
                <w:lang w:eastAsia="en-AU"/>
              </w:rPr>
            </w:pPr>
            <w:r>
              <w:rPr>
                <w:rFonts w:asciiTheme="minorHAnsi" w:hAnsiTheme="minorHAnsi"/>
                <w:bCs/>
                <w:sz w:val="22"/>
                <w:szCs w:val="22"/>
              </w:rPr>
              <w:t>√  or X or</w:t>
            </w:r>
          </w:p>
          <w:p w:rsidR="00D31724" w:rsidRDefault="00D31724">
            <w:pPr>
              <w:jc w:val="left"/>
              <w:rPr>
                <w:rFonts w:asciiTheme="minorHAnsi" w:hAnsiTheme="minorHAnsi"/>
                <w:b/>
                <w:sz w:val="24"/>
                <w:szCs w:val="24"/>
              </w:rPr>
            </w:pPr>
            <w:r>
              <w:rPr>
                <w:rFonts w:asciiTheme="minorHAnsi" w:hAnsiTheme="minorHAnsi"/>
                <w:bCs/>
                <w:sz w:val="22"/>
                <w:szCs w:val="22"/>
              </w:rPr>
              <w:t>n/a</w:t>
            </w:r>
          </w:p>
        </w:tc>
      </w:tr>
      <w:tr w:rsidR="00D31724" w:rsidTr="00D31724">
        <w:tc>
          <w:tcPr>
            <w:tcW w:w="7083"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The applicant has a CFB.</w:t>
            </w:r>
          </w:p>
        </w:tc>
        <w:tc>
          <w:tcPr>
            <w:tcW w:w="1417"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802(2)(a)</w:t>
            </w:r>
          </w:p>
        </w:tc>
        <w:tc>
          <w:tcPr>
            <w:tcW w:w="1129" w:type="dxa"/>
            <w:tcBorders>
              <w:top w:val="single" w:sz="4" w:space="0" w:color="auto"/>
              <w:left w:val="single" w:sz="4" w:space="0" w:color="auto"/>
              <w:bottom w:val="single" w:sz="4" w:space="0" w:color="auto"/>
              <w:right w:val="single" w:sz="4" w:space="0" w:color="auto"/>
            </w:tcBorders>
          </w:tcPr>
          <w:p w:rsidR="00D31724" w:rsidRDefault="00D31724">
            <w:pPr>
              <w:jc w:val="left"/>
              <w:rPr>
                <w:rFonts w:asciiTheme="minorHAnsi" w:hAnsiTheme="minorHAnsi"/>
                <w:sz w:val="24"/>
                <w:szCs w:val="24"/>
              </w:rPr>
            </w:pPr>
          </w:p>
        </w:tc>
      </w:tr>
      <w:tr w:rsidR="00D31724" w:rsidTr="00D31724">
        <w:tc>
          <w:tcPr>
            <w:tcW w:w="7083"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The CFB has held an election (the federal election) for an office (the federal office) under the Commonwealth RO Act</w:t>
            </w:r>
          </w:p>
        </w:tc>
        <w:tc>
          <w:tcPr>
            <w:tcW w:w="1417"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802(2)(b)</w:t>
            </w:r>
          </w:p>
        </w:tc>
        <w:tc>
          <w:tcPr>
            <w:tcW w:w="1129" w:type="dxa"/>
            <w:tcBorders>
              <w:top w:val="single" w:sz="4" w:space="0" w:color="auto"/>
              <w:left w:val="single" w:sz="4" w:space="0" w:color="auto"/>
              <w:bottom w:val="single" w:sz="4" w:space="0" w:color="auto"/>
              <w:right w:val="single" w:sz="4" w:space="0" w:color="auto"/>
            </w:tcBorders>
          </w:tcPr>
          <w:p w:rsidR="00D31724" w:rsidRDefault="00D31724">
            <w:pPr>
              <w:jc w:val="left"/>
              <w:rPr>
                <w:rFonts w:asciiTheme="minorHAnsi" w:hAnsiTheme="minorHAnsi"/>
                <w:sz w:val="24"/>
                <w:szCs w:val="24"/>
              </w:rPr>
            </w:pPr>
          </w:p>
        </w:tc>
      </w:tr>
      <w:tr w:rsidR="00D31724" w:rsidTr="00D31724">
        <w:tc>
          <w:tcPr>
            <w:tcW w:w="7083"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The applicant’s rules provide that the stated office is a corresponding office to the federal office.</w:t>
            </w:r>
          </w:p>
        </w:tc>
        <w:tc>
          <w:tcPr>
            <w:tcW w:w="1417"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802(2)(c)</w:t>
            </w:r>
          </w:p>
        </w:tc>
        <w:tc>
          <w:tcPr>
            <w:tcW w:w="1129" w:type="dxa"/>
            <w:tcBorders>
              <w:top w:val="single" w:sz="4" w:space="0" w:color="auto"/>
              <w:left w:val="single" w:sz="4" w:space="0" w:color="auto"/>
              <w:bottom w:val="single" w:sz="4" w:space="0" w:color="auto"/>
              <w:right w:val="single" w:sz="4" w:space="0" w:color="auto"/>
            </w:tcBorders>
          </w:tcPr>
          <w:p w:rsidR="00D31724" w:rsidRDefault="00D31724">
            <w:pPr>
              <w:jc w:val="left"/>
              <w:rPr>
                <w:rFonts w:asciiTheme="minorHAnsi" w:hAnsiTheme="minorHAnsi"/>
                <w:sz w:val="24"/>
                <w:szCs w:val="24"/>
              </w:rPr>
            </w:pPr>
          </w:p>
        </w:tc>
      </w:tr>
      <w:tr w:rsidR="00D31724" w:rsidTr="00D31724">
        <w:tc>
          <w:tcPr>
            <w:tcW w:w="7083"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The stated office will be filled by a person (the elected person) elected in the federal election to the federal office.</w:t>
            </w:r>
          </w:p>
        </w:tc>
        <w:tc>
          <w:tcPr>
            <w:tcW w:w="1417"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802(2)(d)</w:t>
            </w:r>
          </w:p>
        </w:tc>
        <w:tc>
          <w:tcPr>
            <w:tcW w:w="1129" w:type="dxa"/>
            <w:tcBorders>
              <w:top w:val="single" w:sz="4" w:space="0" w:color="auto"/>
              <w:left w:val="single" w:sz="4" w:space="0" w:color="auto"/>
              <w:bottom w:val="single" w:sz="4" w:space="0" w:color="auto"/>
              <w:right w:val="single" w:sz="4" w:space="0" w:color="auto"/>
            </w:tcBorders>
          </w:tcPr>
          <w:p w:rsidR="00D31724" w:rsidRDefault="00D31724">
            <w:pPr>
              <w:jc w:val="left"/>
              <w:rPr>
                <w:rFonts w:asciiTheme="minorHAnsi" w:hAnsiTheme="minorHAnsi"/>
                <w:sz w:val="24"/>
                <w:szCs w:val="24"/>
              </w:rPr>
            </w:pPr>
          </w:p>
        </w:tc>
      </w:tr>
      <w:tr w:rsidR="00D31724" w:rsidTr="00D31724">
        <w:tc>
          <w:tcPr>
            <w:tcW w:w="7083"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If the eligibility rules of the organisation and the CFB differ – the interests of the applicant’s members who were ineligible to vote in the federal election have not been disadvantaged.</w:t>
            </w:r>
          </w:p>
        </w:tc>
        <w:tc>
          <w:tcPr>
            <w:tcW w:w="1417"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802(2)(e)</w:t>
            </w:r>
          </w:p>
        </w:tc>
        <w:tc>
          <w:tcPr>
            <w:tcW w:w="1129" w:type="dxa"/>
            <w:tcBorders>
              <w:top w:val="single" w:sz="4" w:space="0" w:color="auto"/>
              <w:left w:val="single" w:sz="4" w:space="0" w:color="auto"/>
              <w:bottom w:val="single" w:sz="4" w:space="0" w:color="auto"/>
              <w:right w:val="single" w:sz="4" w:space="0" w:color="auto"/>
            </w:tcBorders>
          </w:tcPr>
          <w:p w:rsidR="00D31724" w:rsidRDefault="00D31724">
            <w:pPr>
              <w:jc w:val="left"/>
              <w:rPr>
                <w:rFonts w:asciiTheme="minorHAnsi" w:hAnsiTheme="minorHAnsi"/>
                <w:sz w:val="24"/>
                <w:szCs w:val="24"/>
              </w:rPr>
            </w:pPr>
          </w:p>
        </w:tc>
      </w:tr>
    </w:tbl>
    <w:p w:rsidR="00D31724" w:rsidRDefault="00D31724" w:rsidP="00D31724">
      <w:pPr>
        <w:pStyle w:val="Heading1"/>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1"/>
        <w:gridCol w:w="1405"/>
        <w:gridCol w:w="1070"/>
      </w:tblGrid>
      <w:tr w:rsidR="00D31724" w:rsidTr="00D31724">
        <w:trPr>
          <w:trHeight w:val="386"/>
        </w:trPr>
        <w:tc>
          <w:tcPr>
            <w:tcW w:w="708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31724" w:rsidRDefault="00D31724">
            <w:pPr>
              <w:jc w:val="left"/>
              <w:rPr>
                <w:rFonts w:asciiTheme="minorHAnsi" w:hAnsiTheme="minorHAnsi"/>
                <w:b/>
                <w:sz w:val="24"/>
                <w:szCs w:val="24"/>
              </w:rPr>
            </w:pPr>
            <w:bookmarkStart w:id="0" w:name="_GoBack" w:colFirst="3" w:colLast="3"/>
            <w:r>
              <w:rPr>
                <w:rFonts w:asciiTheme="minorHAnsi" w:hAnsiTheme="minorHAnsi"/>
                <w:b/>
                <w:sz w:val="24"/>
                <w:szCs w:val="24"/>
              </w:rPr>
              <w:t xml:space="preserve">The application - </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31724" w:rsidRDefault="00D31724">
            <w:pPr>
              <w:jc w:val="left"/>
              <w:rPr>
                <w:rFonts w:asciiTheme="minorHAnsi" w:hAnsiTheme="minorHAnsi"/>
                <w:b/>
                <w:sz w:val="24"/>
                <w:szCs w:val="24"/>
              </w:rPr>
            </w:pPr>
            <w:r>
              <w:rPr>
                <w:rFonts w:asciiTheme="minorHAnsi" w:hAnsiTheme="minorHAnsi"/>
                <w:b/>
                <w:sz w:val="24"/>
                <w:szCs w:val="24"/>
              </w:rPr>
              <w:t>Regulation</w:t>
            </w: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31724" w:rsidRDefault="00D31724">
            <w:pPr>
              <w:autoSpaceDE w:val="0"/>
              <w:autoSpaceDN w:val="0"/>
              <w:adjustRightInd w:val="0"/>
              <w:rPr>
                <w:rFonts w:asciiTheme="minorHAnsi" w:hAnsiTheme="minorHAnsi"/>
                <w:sz w:val="22"/>
                <w:szCs w:val="22"/>
                <w:lang w:eastAsia="en-AU"/>
              </w:rPr>
            </w:pPr>
            <w:r>
              <w:rPr>
                <w:rFonts w:asciiTheme="minorHAnsi" w:hAnsiTheme="minorHAnsi"/>
                <w:bCs/>
                <w:sz w:val="22"/>
                <w:szCs w:val="22"/>
              </w:rPr>
              <w:t>√  or X or</w:t>
            </w:r>
          </w:p>
          <w:p w:rsidR="00D31724" w:rsidRDefault="00D31724">
            <w:pPr>
              <w:jc w:val="left"/>
              <w:rPr>
                <w:rFonts w:asciiTheme="minorHAnsi" w:hAnsiTheme="minorHAnsi"/>
                <w:b/>
                <w:sz w:val="24"/>
                <w:szCs w:val="24"/>
              </w:rPr>
            </w:pPr>
            <w:r>
              <w:rPr>
                <w:rFonts w:asciiTheme="minorHAnsi" w:hAnsiTheme="minorHAnsi"/>
                <w:bCs/>
                <w:sz w:val="22"/>
                <w:szCs w:val="22"/>
              </w:rPr>
              <w:t>n/a</w:t>
            </w:r>
          </w:p>
        </w:tc>
      </w:tr>
      <w:bookmarkEnd w:id="0"/>
      <w:tr w:rsidR="00D31724" w:rsidTr="00D31724">
        <w:tc>
          <w:tcPr>
            <w:tcW w:w="7083"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Must state the grounds on which it is made.</w:t>
            </w:r>
          </w:p>
        </w:tc>
        <w:tc>
          <w:tcPr>
            <w:tcW w:w="1417"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18</w:t>
            </w:r>
          </w:p>
        </w:tc>
        <w:tc>
          <w:tcPr>
            <w:tcW w:w="1129" w:type="dxa"/>
            <w:tcBorders>
              <w:top w:val="single" w:sz="4" w:space="0" w:color="auto"/>
              <w:left w:val="single" w:sz="4" w:space="0" w:color="auto"/>
              <w:bottom w:val="single" w:sz="4" w:space="0" w:color="auto"/>
              <w:right w:val="single" w:sz="4" w:space="0" w:color="auto"/>
            </w:tcBorders>
          </w:tcPr>
          <w:p w:rsidR="00D31724" w:rsidRDefault="00D31724">
            <w:pPr>
              <w:jc w:val="left"/>
              <w:rPr>
                <w:rFonts w:asciiTheme="minorHAnsi" w:hAnsiTheme="minorHAnsi"/>
                <w:sz w:val="24"/>
                <w:szCs w:val="24"/>
              </w:rPr>
            </w:pPr>
          </w:p>
        </w:tc>
      </w:tr>
      <w:tr w:rsidR="00D31724" w:rsidTr="00D31724">
        <w:tc>
          <w:tcPr>
            <w:tcW w:w="7083"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The application may be made only if each applicant has given each of its members, free of charge, written notice of the details of the application.</w:t>
            </w:r>
          </w:p>
        </w:tc>
        <w:tc>
          <w:tcPr>
            <w:tcW w:w="1417"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19(2)</w:t>
            </w:r>
          </w:p>
        </w:tc>
        <w:tc>
          <w:tcPr>
            <w:tcW w:w="1129" w:type="dxa"/>
            <w:tcBorders>
              <w:top w:val="single" w:sz="4" w:space="0" w:color="auto"/>
              <w:left w:val="single" w:sz="4" w:space="0" w:color="auto"/>
              <w:bottom w:val="single" w:sz="4" w:space="0" w:color="auto"/>
              <w:right w:val="single" w:sz="4" w:space="0" w:color="auto"/>
            </w:tcBorders>
          </w:tcPr>
          <w:p w:rsidR="00D31724" w:rsidRDefault="00D31724">
            <w:pPr>
              <w:jc w:val="left"/>
              <w:rPr>
                <w:rFonts w:asciiTheme="minorHAnsi" w:hAnsiTheme="minorHAnsi"/>
                <w:sz w:val="24"/>
                <w:szCs w:val="24"/>
              </w:rPr>
            </w:pPr>
          </w:p>
        </w:tc>
      </w:tr>
      <w:tr w:rsidR="00D31724" w:rsidTr="00D31724">
        <w:tc>
          <w:tcPr>
            <w:tcW w:w="7083"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An applicant may give the notice by including it in a publication that it gives to its members free of charge.</w:t>
            </w:r>
          </w:p>
        </w:tc>
        <w:tc>
          <w:tcPr>
            <w:tcW w:w="1417"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19(3)</w:t>
            </w:r>
          </w:p>
        </w:tc>
        <w:tc>
          <w:tcPr>
            <w:tcW w:w="1129" w:type="dxa"/>
            <w:tcBorders>
              <w:top w:val="single" w:sz="4" w:space="0" w:color="auto"/>
              <w:left w:val="single" w:sz="4" w:space="0" w:color="auto"/>
              <w:bottom w:val="single" w:sz="4" w:space="0" w:color="auto"/>
              <w:right w:val="single" w:sz="4" w:space="0" w:color="auto"/>
            </w:tcBorders>
          </w:tcPr>
          <w:p w:rsidR="00D31724" w:rsidRDefault="00D31724">
            <w:pPr>
              <w:jc w:val="left"/>
              <w:rPr>
                <w:rFonts w:asciiTheme="minorHAnsi" w:hAnsiTheme="minorHAnsi"/>
                <w:sz w:val="24"/>
                <w:szCs w:val="24"/>
              </w:rPr>
            </w:pPr>
          </w:p>
        </w:tc>
      </w:tr>
      <w:tr w:rsidR="00D31724" w:rsidTr="00D31724">
        <w:tc>
          <w:tcPr>
            <w:tcW w:w="7083"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lastRenderedPageBreak/>
              <w:t>The application must be accompanied by an affidavit by a member of each applicant’s management committee stating that subsection (2) has been complied with.</w:t>
            </w:r>
          </w:p>
        </w:tc>
        <w:tc>
          <w:tcPr>
            <w:tcW w:w="1417" w:type="dxa"/>
            <w:tcBorders>
              <w:top w:val="single" w:sz="4" w:space="0" w:color="auto"/>
              <w:left w:val="single" w:sz="4" w:space="0" w:color="auto"/>
              <w:bottom w:val="single" w:sz="4" w:space="0" w:color="auto"/>
              <w:right w:val="single" w:sz="4" w:space="0" w:color="auto"/>
            </w:tcBorders>
            <w:hideMark/>
          </w:tcPr>
          <w:p w:rsidR="00D31724" w:rsidRDefault="00D31724">
            <w:pPr>
              <w:jc w:val="left"/>
              <w:rPr>
                <w:rFonts w:asciiTheme="minorHAnsi" w:hAnsiTheme="minorHAnsi"/>
                <w:sz w:val="24"/>
                <w:szCs w:val="24"/>
              </w:rPr>
            </w:pPr>
            <w:r>
              <w:rPr>
                <w:rFonts w:asciiTheme="minorHAnsi" w:hAnsiTheme="minorHAnsi"/>
                <w:sz w:val="24"/>
                <w:szCs w:val="24"/>
              </w:rPr>
              <w:t>19(4)</w:t>
            </w:r>
          </w:p>
        </w:tc>
        <w:tc>
          <w:tcPr>
            <w:tcW w:w="1129" w:type="dxa"/>
            <w:tcBorders>
              <w:top w:val="single" w:sz="4" w:space="0" w:color="auto"/>
              <w:left w:val="single" w:sz="4" w:space="0" w:color="auto"/>
              <w:bottom w:val="single" w:sz="4" w:space="0" w:color="auto"/>
              <w:right w:val="single" w:sz="4" w:space="0" w:color="auto"/>
            </w:tcBorders>
          </w:tcPr>
          <w:p w:rsidR="00D31724" w:rsidRDefault="00D31724">
            <w:pPr>
              <w:jc w:val="left"/>
              <w:rPr>
                <w:rFonts w:asciiTheme="minorHAnsi" w:hAnsiTheme="minorHAnsi"/>
                <w:sz w:val="24"/>
                <w:szCs w:val="24"/>
              </w:rPr>
            </w:pPr>
          </w:p>
        </w:tc>
      </w:tr>
    </w:tbl>
    <w:p w:rsidR="00D31724" w:rsidRDefault="00D31724" w:rsidP="00D31724">
      <w:pPr>
        <w:pStyle w:val="Heading1"/>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5"/>
        <w:gridCol w:w="1380"/>
        <w:gridCol w:w="1071"/>
      </w:tblGrid>
      <w:tr w:rsidR="00D31724" w:rsidTr="00D31724">
        <w:tc>
          <w:tcPr>
            <w:tcW w:w="708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31724" w:rsidRDefault="00D31724">
            <w:pPr>
              <w:pStyle w:val="Heading1"/>
              <w:rPr>
                <w:rFonts w:asciiTheme="minorHAnsi" w:hAnsiTheme="minorHAnsi"/>
                <w:sz w:val="24"/>
                <w:szCs w:val="24"/>
              </w:rPr>
            </w:pPr>
            <w:r>
              <w:rPr>
                <w:rFonts w:asciiTheme="minorHAnsi" w:hAnsiTheme="minorHAnsi"/>
                <w:sz w:val="24"/>
                <w:szCs w:val="24"/>
              </w:rPr>
              <w:t xml:space="preserve">The application </w:t>
            </w:r>
            <w:proofErr w:type="gramStart"/>
            <w:r>
              <w:rPr>
                <w:rFonts w:asciiTheme="minorHAnsi" w:hAnsiTheme="minorHAnsi"/>
                <w:sz w:val="24"/>
                <w:szCs w:val="24"/>
              </w:rPr>
              <w:t>must  -</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31724" w:rsidRDefault="00D31724">
            <w:pPr>
              <w:pStyle w:val="Heading1"/>
              <w:rPr>
                <w:rFonts w:asciiTheme="minorHAnsi" w:hAnsiTheme="minorHAnsi"/>
                <w:sz w:val="24"/>
                <w:szCs w:val="24"/>
              </w:rPr>
            </w:pPr>
            <w:r>
              <w:rPr>
                <w:rFonts w:asciiTheme="minorHAnsi" w:hAnsiTheme="minorHAnsi"/>
                <w:sz w:val="24"/>
                <w:szCs w:val="24"/>
              </w:rPr>
              <w:t xml:space="preserve">Tribunal Rule </w:t>
            </w: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31724" w:rsidRDefault="00D31724">
            <w:pPr>
              <w:autoSpaceDE w:val="0"/>
              <w:autoSpaceDN w:val="0"/>
              <w:adjustRightInd w:val="0"/>
              <w:rPr>
                <w:rFonts w:asciiTheme="minorHAnsi" w:hAnsiTheme="minorHAnsi"/>
                <w:sz w:val="22"/>
                <w:szCs w:val="22"/>
                <w:lang w:eastAsia="en-AU"/>
              </w:rPr>
            </w:pPr>
            <w:r>
              <w:rPr>
                <w:rFonts w:asciiTheme="minorHAnsi" w:hAnsiTheme="minorHAnsi"/>
                <w:bCs/>
                <w:sz w:val="22"/>
                <w:szCs w:val="22"/>
              </w:rPr>
              <w:t>√  or X or</w:t>
            </w:r>
          </w:p>
          <w:p w:rsidR="00D31724" w:rsidRDefault="00D31724">
            <w:pPr>
              <w:pStyle w:val="Heading1"/>
              <w:rPr>
                <w:rFonts w:asciiTheme="minorHAnsi" w:hAnsiTheme="minorHAnsi"/>
                <w:sz w:val="24"/>
                <w:szCs w:val="24"/>
              </w:rPr>
            </w:pPr>
            <w:r>
              <w:rPr>
                <w:rFonts w:asciiTheme="minorHAnsi" w:hAnsiTheme="minorHAnsi"/>
                <w:bCs w:val="0"/>
                <w:sz w:val="22"/>
                <w:szCs w:val="22"/>
              </w:rPr>
              <w:t>n/a</w:t>
            </w:r>
          </w:p>
        </w:tc>
      </w:tr>
      <w:tr w:rsidR="00D31724" w:rsidTr="00D31724">
        <w:tc>
          <w:tcPr>
            <w:tcW w:w="7083" w:type="dxa"/>
            <w:tcBorders>
              <w:top w:val="single" w:sz="4" w:space="0" w:color="auto"/>
              <w:left w:val="single" w:sz="4" w:space="0" w:color="auto"/>
              <w:bottom w:val="single" w:sz="4" w:space="0" w:color="auto"/>
              <w:right w:val="single" w:sz="4" w:space="0" w:color="auto"/>
            </w:tcBorders>
            <w:hideMark/>
          </w:tcPr>
          <w:p w:rsidR="00D31724" w:rsidRDefault="00D31724">
            <w:pPr>
              <w:pStyle w:val="Heading1"/>
              <w:rPr>
                <w:rFonts w:asciiTheme="minorHAnsi" w:hAnsiTheme="minorHAnsi"/>
                <w:b w:val="0"/>
                <w:sz w:val="24"/>
                <w:szCs w:val="24"/>
              </w:rPr>
            </w:pPr>
            <w:r>
              <w:rPr>
                <w:rFonts w:asciiTheme="minorHAnsi" w:hAnsiTheme="minorHAnsi"/>
                <w:b w:val="0"/>
                <w:sz w:val="24"/>
                <w:szCs w:val="24"/>
              </w:rPr>
              <w:t>Be in the chapter 12 approved form (Form 56)</w:t>
            </w:r>
          </w:p>
        </w:tc>
        <w:tc>
          <w:tcPr>
            <w:tcW w:w="1417" w:type="dxa"/>
            <w:tcBorders>
              <w:top w:val="single" w:sz="4" w:space="0" w:color="auto"/>
              <w:left w:val="single" w:sz="4" w:space="0" w:color="auto"/>
              <w:bottom w:val="single" w:sz="4" w:space="0" w:color="auto"/>
              <w:right w:val="single" w:sz="4" w:space="0" w:color="auto"/>
            </w:tcBorders>
            <w:hideMark/>
          </w:tcPr>
          <w:p w:rsidR="00D31724" w:rsidRDefault="00D31724">
            <w:pPr>
              <w:pStyle w:val="Heading1"/>
              <w:rPr>
                <w:rFonts w:asciiTheme="minorHAnsi" w:hAnsiTheme="minorHAnsi"/>
                <w:b w:val="0"/>
                <w:sz w:val="24"/>
                <w:szCs w:val="24"/>
              </w:rPr>
            </w:pPr>
            <w:r>
              <w:rPr>
                <w:rFonts w:asciiTheme="minorHAnsi" w:hAnsiTheme="minorHAnsi"/>
                <w:b w:val="0"/>
                <w:sz w:val="24"/>
                <w:szCs w:val="24"/>
              </w:rPr>
              <w:t>203(a)</w:t>
            </w:r>
          </w:p>
        </w:tc>
        <w:tc>
          <w:tcPr>
            <w:tcW w:w="1129" w:type="dxa"/>
            <w:tcBorders>
              <w:top w:val="single" w:sz="4" w:space="0" w:color="auto"/>
              <w:left w:val="single" w:sz="4" w:space="0" w:color="auto"/>
              <w:bottom w:val="single" w:sz="4" w:space="0" w:color="auto"/>
              <w:right w:val="single" w:sz="4" w:space="0" w:color="auto"/>
            </w:tcBorders>
          </w:tcPr>
          <w:p w:rsidR="00D31724" w:rsidRDefault="00D31724">
            <w:pPr>
              <w:pStyle w:val="Heading1"/>
              <w:rPr>
                <w:rFonts w:asciiTheme="minorHAnsi" w:hAnsiTheme="minorHAnsi"/>
                <w:b w:val="0"/>
                <w:sz w:val="24"/>
                <w:szCs w:val="24"/>
              </w:rPr>
            </w:pPr>
          </w:p>
        </w:tc>
      </w:tr>
      <w:tr w:rsidR="00D31724" w:rsidTr="00D31724">
        <w:tc>
          <w:tcPr>
            <w:tcW w:w="7083" w:type="dxa"/>
            <w:tcBorders>
              <w:top w:val="single" w:sz="4" w:space="0" w:color="auto"/>
              <w:left w:val="single" w:sz="4" w:space="0" w:color="auto"/>
              <w:bottom w:val="single" w:sz="4" w:space="0" w:color="auto"/>
              <w:right w:val="single" w:sz="4" w:space="0" w:color="auto"/>
            </w:tcBorders>
            <w:hideMark/>
          </w:tcPr>
          <w:p w:rsidR="00D31724" w:rsidRDefault="00D31724">
            <w:pPr>
              <w:pStyle w:val="Heading1"/>
              <w:rPr>
                <w:rFonts w:asciiTheme="minorHAnsi" w:hAnsiTheme="minorHAnsi"/>
                <w:b w:val="0"/>
                <w:sz w:val="24"/>
                <w:szCs w:val="24"/>
              </w:rPr>
            </w:pPr>
            <w:r>
              <w:rPr>
                <w:rFonts w:asciiTheme="minorHAnsi" w:hAnsiTheme="minorHAnsi"/>
                <w:b w:val="0"/>
                <w:sz w:val="24"/>
                <w:szCs w:val="24"/>
              </w:rPr>
              <w:t>Have a copy of any report or certificate required under the Commonwealth (Registered Organisations) Act for the CFB’s election that the application is about, certified by the president or secretary of the body as being a true copy.</w:t>
            </w:r>
          </w:p>
        </w:tc>
        <w:tc>
          <w:tcPr>
            <w:tcW w:w="1417" w:type="dxa"/>
            <w:tcBorders>
              <w:top w:val="single" w:sz="4" w:space="0" w:color="auto"/>
              <w:left w:val="single" w:sz="4" w:space="0" w:color="auto"/>
              <w:bottom w:val="single" w:sz="4" w:space="0" w:color="auto"/>
              <w:right w:val="single" w:sz="4" w:space="0" w:color="auto"/>
            </w:tcBorders>
            <w:hideMark/>
          </w:tcPr>
          <w:p w:rsidR="00D31724" w:rsidRDefault="00D31724">
            <w:pPr>
              <w:pStyle w:val="Heading1"/>
              <w:rPr>
                <w:rFonts w:asciiTheme="minorHAnsi" w:hAnsiTheme="minorHAnsi"/>
                <w:b w:val="0"/>
                <w:sz w:val="24"/>
                <w:szCs w:val="24"/>
              </w:rPr>
            </w:pPr>
            <w:r>
              <w:rPr>
                <w:rFonts w:asciiTheme="minorHAnsi" w:hAnsiTheme="minorHAnsi"/>
                <w:b w:val="0"/>
                <w:sz w:val="24"/>
                <w:szCs w:val="24"/>
              </w:rPr>
              <w:t>203(b)</w:t>
            </w:r>
          </w:p>
        </w:tc>
        <w:tc>
          <w:tcPr>
            <w:tcW w:w="1129" w:type="dxa"/>
            <w:tcBorders>
              <w:top w:val="single" w:sz="4" w:space="0" w:color="auto"/>
              <w:left w:val="single" w:sz="4" w:space="0" w:color="auto"/>
              <w:bottom w:val="single" w:sz="4" w:space="0" w:color="auto"/>
              <w:right w:val="single" w:sz="4" w:space="0" w:color="auto"/>
            </w:tcBorders>
          </w:tcPr>
          <w:p w:rsidR="00D31724" w:rsidRDefault="00D31724">
            <w:pPr>
              <w:pStyle w:val="Heading1"/>
              <w:rPr>
                <w:rFonts w:asciiTheme="minorHAnsi" w:hAnsiTheme="minorHAnsi"/>
                <w:b w:val="0"/>
                <w:sz w:val="24"/>
                <w:szCs w:val="24"/>
              </w:rPr>
            </w:pPr>
          </w:p>
        </w:tc>
      </w:tr>
    </w:tbl>
    <w:p w:rsidR="00D31724" w:rsidRDefault="00D31724" w:rsidP="00D31724">
      <w:pPr>
        <w:pStyle w:val="Heading1"/>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6"/>
        <w:gridCol w:w="1400"/>
      </w:tblGrid>
      <w:tr w:rsidR="00D31724" w:rsidTr="00D31724">
        <w:tc>
          <w:tcPr>
            <w:tcW w:w="82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31724" w:rsidRDefault="00D31724">
            <w:pPr>
              <w:pStyle w:val="Heading1"/>
              <w:rPr>
                <w:rFonts w:asciiTheme="minorHAnsi" w:hAnsiTheme="minorHAnsi"/>
                <w:sz w:val="24"/>
                <w:szCs w:val="24"/>
              </w:rPr>
            </w:pPr>
            <w:r>
              <w:rPr>
                <w:rFonts w:asciiTheme="minorHAnsi" w:hAnsiTheme="minorHAnsi"/>
                <w:sz w:val="24"/>
                <w:szCs w:val="24"/>
              </w:rPr>
              <w:t>Objections -</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31724" w:rsidRDefault="00D31724">
            <w:pPr>
              <w:pStyle w:val="Heading1"/>
              <w:rPr>
                <w:rFonts w:asciiTheme="minorHAnsi" w:hAnsiTheme="minorHAnsi"/>
                <w:sz w:val="24"/>
                <w:szCs w:val="24"/>
              </w:rPr>
            </w:pPr>
            <w:r>
              <w:rPr>
                <w:rFonts w:asciiTheme="minorHAnsi" w:hAnsiTheme="minorHAnsi"/>
                <w:sz w:val="24"/>
                <w:szCs w:val="24"/>
              </w:rPr>
              <w:t xml:space="preserve">Regulation </w:t>
            </w:r>
          </w:p>
        </w:tc>
      </w:tr>
      <w:tr w:rsidR="00D31724" w:rsidTr="00D31724">
        <w:trPr>
          <w:trHeight w:val="402"/>
        </w:trPr>
        <w:tc>
          <w:tcPr>
            <w:tcW w:w="8217" w:type="dxa"/>
            <w:tcBorders>
              <w:top w:val="single" w:sz="4" w:space="0" w:color="auto"/>
              <w:left w:val="single" w:sz="4" w:space="0" w:color="auto"/>
              <w:bottom w:val="single" w:sz="4" w:space="0" w:color="auto"/>
              <w:right w:val="single" w:sz="4" w:space="0" w:color="auto"/>
            </w:tcBorders>
            <w:hideMark/>
          </w:tcPr>
          <w:p w:rsidR="00D31724" w:rsidRDefault="00D31724">
            <w:pPr>
              <w:pStyle w:val="Heading1"/>
              <w:rPr>
                <w:rFonts w:asciiTheme="minorHAnsi" w:hAnsiTheme="minorHAnsi"/>
                <w:b w:val="0"/>
                <w:sz w:val="24"/>
                <w:szCs w:val="24"/>
              </w:rPr>
            </w:pPr>
            <w:r>
              <w:rPr>
                <w:rFonts w:asciiTheme="minorHAnsi" w:hAnsiTheme="minorHAnsi"/>
                <w:b w:val="0"/>
                <w:sz w:val="24"/>
                <w:szCs w:val="24"/>
              </w:rPr>
              <w:t>A person who has been given a notice under section 19(2) of an application for an exemption under section 802 of the Act may object to the application</w:t>
            </w:r>
          </w:p>
        </w:tc>
        <w:tc>
          <w:tcPr>
            <w:tcW w:w="1412" w:type="dxa"/>
            <w:tcBorders>
              <w:top w:val="single" w:sz="4" w:space="0" w:color="auto"/>
              <w:left w:val="single" w:sz="4" w:space="0" w:color="auto"/>
              <w:bottom w:val="single" w:sz="4" w:space="0" w:color="auto"/>
              <w:right w:val="single" w:sz="4" w:space="0" w:color="auto"/>
            </w:tcBorders>
            <w:hideMark/>
          </w:tcPr>
          <w:p w:rsidR="00D31724" w:rsidRDefault="00D31724">
            <w:pPr>
              <w:pStyle w:val="Heading1"/>
              <w:rPr>
                <w:rFonts w:asciiTheme="minorHAnsi" w:hAnsiTheme="minorHAnsi"/>
                <w:b w:val="0"/>
                <w:sz w:val="24"/>
                <w:szCs w:val="24"/>
              </w:rPr>
            </w:pPr>
            <w:r>
              <w:rPr>
                <w:rFonts w:asciiTheme="minorHAnsi" w:hAnsiTheme="minorHAnsi"/>
                <w:b w:val="0"/>
                <w:sz w:val="24"/>
                <w:szCs w:val="24"/>
              </w:rPr>
              <w:t>24(2)</w:t>
            </w:r>
          </w:p>
        </w:tc>
      </w:tr>
      <w:tr w:rsidR="00D31724" w:rsidTr="00D31724">
        <w:tc>
          <w:tcPr>
            <w:tcW w:w="8217" w:type="dxa"/>
            <w:tcBorders>
              <w:top w:val="single" w:sz="4" w:space="0" w:color="auto"/>
              <w:left w:val="single" w:sz="4" w:space="0" w:color="auto"/>
              <w:bottom w:val="single" w:sz="4" w:space="0" w:color="auto"/>
              <w:right w:val="single" w:sz="4" w:space="0" w:color="auto"/>
            </w:tcBorders>
            <w:hideMark/>
          </w:tcPr>
          <w:p w:rsidR="00D31724" w:rsidRDefault="00D31724">
            <w:pPr>
              <w:pStyle w:val="Heading1"/>
              <w:rPr>
                <w:rFonts w:asciiTheme="minorHAnsi" w:hAnsiTheme="minorHAnsi"/>
                <w:b w:val="0"/>
                <w:sz w:val="24"/>
                <w:szCs w:val="24"/>
              </w:rPr>
            </w:pPr>
            <w:r>
              <w:rPr>
                <w:rFonts w:asciiTheme="minorHAnsi" w:hAnsiTheme="minorHAnsi"/>
                <w:b w:val="0"/>
                <w:sz w:val="24"/>
                <w:szCs w:val="24"/>
              </w:rPr>
              <w:t>The notice of objection must</w:t>
            </w:r>
          </w:p>
          <w:p w:rsidR="00D31724" w:rsidRDefault="00D31724" w:rsidP="00BD439D">
            <w:pPr>
              <w:numPr>
                <w:ilvl w:val="0"/>
                <w:numId w:val="3"/>
              </w:numPr>
              <w:ind w:left="454" w:hanging="425"/>
              <w:rPr>
                <w:rFonts w:asciiTheme="minorHAnsi" w:hAnsiTheme="minorHAnsi"/>
                <w:sz w:val="24"/>
                <w:szCs w:val="24"/>
              </w:rPr>
            </w:pPr>
            <w:r>
              <w:rPr>
                <w:rFonts w:asciiTheme="minorHAnsi" w:hAnsiTheme="minorHAnsi"/>
                <w:sz w:val="24"/>
                <w:szCs w:val="24"/>
              </w:rPr>
              <w:t>Be in the form provided for in the rules of court; and</w:t>
            </w:r>
          </w:p>
          <w:p w:rsidR="00D31724" w:rsidRDefault="00D31724" w:rsidP="00BD439D">
            <w:pPr>
              <w:numPr>
                <w:ilvl w:val="0"/>
                <w:numId w:val="3"/>
              </w:numPr>
              <w:ind w:left="454" w:hanging="425"/>
              <w:rPr>
                <w:rFonts w:asciiTheme="minorHAnsi" w:hAnsiTheme="minorHAnsi"/>
                <w:sz w:val="24"/>
                <w:szCs w:val="24"/>
              </w:rPr>
            </w:pPr>
            <w:r>
              <w:rPr>
                <w:rFonts w:asciiTheme="minorHAnsi" w:hAnsiTheme="minorHAnsi"/>
                <w:sz w:val="24"/>
                <w:szCs w:val="24"/>
              </w:rPr>
              <w:t>State the grounds on which the objection is made; and</w:t>
            </w:r>
          </w:p>
          <w:p w:rsidR="00D31724" w:rsidRDefault="00D31724" w:rsidP="00BD439D">
            <w:pPr>
              <w:numPr>
                <w:ilvl w:val="0"/>
                <w:numId w:val="3"/>
              </w:numPr>
              <w:tabs>
                <w:tab w:val="clear" w:pos="284"/>
                <w:tab w:val="left" w:pos="454"/>
              </w:tabs>
              <w:ind w:left="567" w:hanging="538"/>
              <w:rPr>
                <w:rFonts w:asciiTheme="minorHAnsi" w:hAnsiTheme="minorHAnsi"/>
                <w:sz w:val="24"/>
                <w:szCs w:val="24"/>
              </w:rPr>
            </w:pPr>
            <w:r>
              <w:rPr>
                <w:rFonts w:asciiTheme="minorHAnsi" w:hAnsiTheme="minorHAnsi"/>
                <w:sz w:val="24"/>
                <w:szCs w:val="24"/>
              </w:rPr>
              <w:t>Be filed in the Registry within 35 days after –</w:t>
            </w:r>
          </w:p>
          <w:p w:rsidR="00D31724" w:rsidRDefault="00D31724">
            <w:pPr>
              <w:ind w:left="851" w:hanging="397"/>
              <w:rPr>
                <w:rFonts w:asciiTheme="minorHAnsi" w:hAnsiTheme="minorHAnsi"/>
                <w:sz w:val="24"/>
                <w:szCs w:val="24"/>
              </w:rPr>
            </w:pPr>
            <w:r>
              <w:rPr>
                <w:rFonts w:asciiTheme="minorHAnsi" w:hAnsiTheme="minorHAnsi"/>
                <w:sz w:val="24"/>
                <w:szCs w:val="24"/>
              </w:rPr>
              <w:t>(</w:t>
            </w:r>
            <w:proofErr w:type="spellStart"/>
            <w:r>
              <w:rPr>
                <w:rFonts w:asciiTheme="minorHAnsi" w:hAnsiTheme="minorHAnsi"/>
                <w:sz w:val="24"/>
                <w:szCs w:val="24"/>
              </w:rPr>
              <w:t>i</w:t>
            </w:r>
            <w:proofErr w:type="spellEnd"/>
            <w:r>
              <w:rPr>
                <w:rFonts w:asciiTheme="minorHAnsi" w:hAnsiTheme="minorHAnsi"/>
                <w:sz w:val="24"/>
                <w:szCs w:val="24"/>
              </w:rPr>
              <w:t>)    for an objection to an application under section 802 of the Act – the giving of written notice of the application under section 19(2); or</w:t>
            </w:r>
          </w:p>
          <w:p w:rsidR="00D31724" w:rsidRDefault="00D31724">
            <w:pPr>
              <w:ind w:left="851" w:hanging="397"/>
              <w:rPr>
                <w:rFonts w:asciiTheme="minorHAnsi" w:hAnsiTheme="minorHAnsi"/>
                <w:sz w:val="24"/>
                <w:szCs w:val="24"/>
              </w:rPr>
            </w:pPr>
            <w:r>
              <w:rPr>
                <w:rFonts w:asciiTheme="minorHAnsi" w:hAnsiTheme="minorHAnsi"/>
                <w:sz w:val="24"/>
                <w:szCs w:val="24"/>
              </w:rPr>
              <w:t>(ii)  for another objection – the publication of the notice of the application to which the objection relates: and</w:t>
            </w:r>
          </w:p>
          <w:p w:rsidR="00D31724" w:rsidRDefault="00D31724" w:rsidP="00BD439D">
            <w:pPr>
              <w:numPr>
                <w:ilvl w:val="0"/>
                <w:numId w:val="3"/>
              </w:numPr>
              <w:ind w:left="454" w:hanging="425"/>
              <w:rPr>
                <w:rFonts w:asciiTheme="minorHAnsi" w:hAnsiTheme="minorHAnsi"/>
                <w:sz w:val="24"/>
                <w:szCs w:val="24"/>
              </w:rPr>
            </w:pPr>
            <w:r>
              <w:rPr>
                <w:rFonts w:asciiTheme="minorHAnsi" w:hAnsiTheme="minorHAnsi"/>
                <w:sz w:val="24"/>
                <w:szCs w:val="24"/>
              </w:rPr>
              <w:t>Be accompanied by a statement of the facts and issues the objector relies on in support of the objection.</w:t>
            </w:r>
          </w:p>
        </w:tc>
        <w:tc>
          <w:tcPr>
            <w:tcW w:w="1412" w:type="dxa"/>
            <w:tcBorders>
              <w:top w:val="single" w:sz="4" w:space="0" w:color="auto"/>
              <w:left w:val="single" w:sz="4" w:space="0" w:color="auto"/>
              <w:bottom w:val="single" w:sz="4" w:space="0" w:color="auto"/>
              <w:right w:val="single" w:sz="4" w:space="0" w:color="auto"/>
            </w:tcBorders>
            <w:hideMark/>
          </w:tcPr>
          <w:p w:rsidR="00D31724" w:rsidRDefault="00D31724">
            <w:pPr>
              <w:pStyle w:val="Heading1"/>
              <w:rPr>
                <w:rFonts w:asciiTheme="minorHAnsi" w:hAnsiTheme="minorHAnsi"/>
                <w:b w:val="0"/>
                <w:sz w:val="24"/>
                <w:szCs w:val="24"/>
              </w:rPr>
            </w:pPr>
            <w:r>
              <w:rPr>
                <w:rFonts w:asciiTheme="minorHAnsi" w:hAnsiTheme="minorHAnsi"/>
                <w:b w:val="0"/>
                <w:sz w:val="24"/>
                <w:szCs w:val="24"/>
              </w:rPr>
              <w:t>25(2)</w:t>
            </w:r>
          </w:p>
        </w:tc>
      </w:tr>
      <w:tr w:rsidR="00D31724" w:rsidTr="00D31724">
        <w:tc>
          <w:tcPr>
            <w:tcW w:w="8217" w:type="dxa"/>
            <w:tcBorders>
              <w:top w:val="single" w:sz="4" w:space="0" w:color="auto"/>
              <w:left w:val="single" w:sz="4" w:space="0" w:color="auto"/>
              <w:bottom w:val="single" w:sz="4" w:space="0" w:color="auto"/>
              <w:right w:val="single" w:sz="4" w:space="0" w:color="auto"/>
            </w:tcBorders>
            <w:hideMark/>
          </w:tcPr>
          <w:p w:rsidR="00D31724" w:rsidRDefault="00D31724">
            <w:pPr>
              <w:pStyle w:val="Heading1"/>
              <w:rPr>
                <w:rFonts w:asciiTheme="minorHAnsi" w:hAnsiTheme="minorHAnsi"/>
                <w:b w:val="0"/>
                <w:sz w:val="24"/>
                <w:szCs w:val="24"/>
              </w:rPr>
            </w:pPr>
            <w:r>
              <w:rPr>
                <w:rFonts w:asciiTheme="minorHAnsi" w:hAnsiTheme="minorHAnsi"/>
                <w:b w:val="0"/>
                <w:sz w:val="24"/>
                <w:szCs w:val="24"/>
              </w:rPr>
              <w:t>For subsection (2)(c)(</w:t>
            </w:r>
            <w:proofErr w:type="spellStart"/>
            <w:r>
              <w:rPr>
                <w:rFonts w:asciiTheme="minorHAnsi" w:hAnsiTheme="minorHAnsi"/>
                <w:b w:val="0"/>
                <w:sz w:val="24"/>
                <w:szCs w:val="24"/>
              </w:rPr>
              <w:t>i</w:t>
            </w:r>
            <w:proofErr w:type="spellEnd"/>
            <w:r>
              <w:rPr>
                <w:rFonts w:asciiTheme="minorHAnsi" w:hAnsiTheme="minorHAnsi"/>
                <w:b w:val="0"/>
                <w:sz w:val="24"/>
                <w:szCs w:val="24"/>
              </w:rPr>
              <w:t>), if written notice of the application was given on more than 1 day under section 19(2), the notice of objection must be filed in the registry within 35 days of the latest day on which notice was given.</w:t>
            </w:r>
          </w:p>
        </w:tc>
        <w:tc>
          <w:tcPr>
            <w:tcW w:w="1412" w:type="dxa"/>
            <w:tcBorders>
              <w:top w:val="single" w:sz="4" w:space="0" w:color="auto"/>
              <w:left w:val="single" w:sz="4" w:space="0" w:color="auto"/>
              <w:bottom w:val="single" w:sz="4" w:space="0" w:color="auto"/>
              <w:right w:val="single" w:sz="4" w:space="0" w:color="auto"/>
            </w:tcBorders>
            <w:hideMark/>
          </w:tcPr>
          <w:p w:rsidR="00D31724" w:rsidRDefault="00D31724">
            <w:pPr>
              <w:pStyle w:val="Heading1"/>
              <w:rPr>
                <w:rFonts w:asciiTheme="minorHAnsi" w:hAnsiTheme="minorHAnsi"/>
                <w:b w:val="0"/>
                <w:sz w:val="24"/>
                <w:szCs w:val="24"/>
              </w:rPr>
            </w:pPr>
            <w:r>
              <w:rPr>
                <w:rFonts w:asciiTheme="minorHAnsi" w:hAnsiTheme="minorHAnsi"/>
                <w:b w:val="0"/>
                <w:sz w:val="24"/>
                <w:szCs w:val="24"/>
              </w:rPr>
              <w:t>25(2A)</w:t>
            </w:r>
          </w:p>
        </w:tc>
      </w:tr>
    </w:tbl>
    <w:p w:rsidR="00D31724" w:rsidRDefault="00D31724" w:rsidP="00D31724">
      <w:pPr>
        <w:rPr>
          <w:rFonts w:asciiTheme="minorHAnsi" w:hAnsiTheme="minorHAnsi"/>
          <w:sz w:val="24"/>
          <w:szCs w:val="24"/>
        </w:rPr>
      </w:pPr>
    </w:p>
    <w:p w:rsidR="00C54C7A" w:rsidRDefault="00C54C7A"/>
    <w:sectPr w:rsidR="00C54C7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300" w:rsidRDefault="00425300" w:rsidP="00425300">
      <w:r>
        <w:separator/>
      </w:r>
    </w:p>
  </w:endnote>
  <w:endnote w:type="continuationSeparator" w:id="0">
    <w:p w:rsidR="00425300" w:rsidRDefault="00425300" w:rsidP="0042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300" w:rsidRDefault="00425300" w:rsidP="00425300">
      <w:r>
        <w:separator/>
      </w:r>
    </w:p>
  </w:footnote>
  <w:footnote w:type="continuationSeparator" w:id="0">
    <w:p w:rsidR="00425300" w:rsidRDefault="00425300" w:rsidP="0042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300" w:rsidRDefault="00425300">
    <w:pPr>
      <w:pStyle w:val="Header"/>
      <w:jc w:val="right"/>
    </w:pPr>
  </w:p>
  <w:p w:rsidR="00425300" w:rsidRDefault="00425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6ED2"/>
    <w:multiLevelType w:val="hybridMultilevel"/>
    <w:tmpl w:val="8B2C9BC2"/>
    <w:lvl w:ilvl="0" w:tplc="92241842">
      <w:start w:val="1"/>
      <w:numFmt w:val="lowerRoman"/>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 w15:restartNumberingAfterBreak="0">
    <w:nsid w:val="7B54079A"/>
    <w:multiLevelType w:val="hybridMultilevel"/>
    <w:tmpl w:val="92DEFB72"/>
    <w:lvl w:ilvl="0" w:tplc="0A98B6E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7D766758"/>
    <w:multiLevelType w:val="hybridMultilevel"/>
    <w:tmpl w:val="C0446E7E"/>
    <w:lvl w:ilvl="0" w:tplc="E97CECA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24"/>
    <w:rsid w:val="00425300"/>
    <w:rsid w:val="00557489"/>
    <w:rsid w:val="00AE0ACD"/>
    <w:rsid w:val="00C54C7A"/>
    <w:rsid w:val="00D31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96570B5-D906-466A-9A8D-57279C51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724"/>
    <w:pPr>
      <w:tabs>
        <w:tab w:val="left" w:pos="284"/>
        <w:tab w:val="left" w:pos="567"/>
        <w:tab w:val="left" w:pos="851"/>
        <w:tab w:val="left" w:pos="1134"/>
      </w:tabs>
      <w:spacing w:after="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31724"/>
    <w:pPr>
      <w:keepNext/>
      <w:jc w:val="lef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724"/>
    <w:rPr>
      <w:rFonts w:ascii="Times New Roman" w:eastAsia="Times New Roman" w:hAnsi="Times New Roman" w:cs="Times New Roman"/>
      <w:b/>
      <w:bCs/>
      <w:sz w:val="20"/>
      <w:szCs w:val="20"/>
    </w:rPr>
  </w:style>
  <w:style w:type="paragraph" w:styleId="Title">
    <w:name w:val="Title"/>
    <w:basedOn w:val="Normal"/>
    <w:link w:val="TitleChar"/>
    <w:qFormat/>
    <w:rsid w:val="00D31724"/>
    <w:pPr>
      <w:jc w:val="center"/>
    </w:pPr>
    <w:rPr>
      <w:sz w:val="24"/>
    </w:rPr>
  </w:style>
  <w:style w:type="character" w:customStyle="1" w:styleId="TitleChar">
    <w:name w:val="Title Char"/>
    <w:basedOn w:val="DefaultParagraphFont"/>
    <w:link w:val="Title"/>
    <w:rsid w:val="00D31724"/>
    <w:rPr>
      <w:rFonts w:ascii="Times New Roman" w:eastAsia="Times New Roman" w:hAnsi="Times New Roman" w:cs="Times New Roman"/>
      <w:sz w:val="24"/>
      <w:szCs w:val="20"/>
    </w:rPr>
  </w:style>
  <w:style w:type="paragraph" w:styleId="ListParagraph">
    <w:name w:val="List Paragraph"/>
    <w:basedOn w:val="Normal"/>
    <w:uiPriority w:val="34"/>
    <w:qFormat/>
    <w:rsid w:val="00D31724"/>
    <w:pPr>
      <w:ind w:left="720"/>
      <w:contextualSpacing/>
    </w:pPr>
  </w:style>
  <w:style w:type="paragraph" w:styleId="BalloonText">
    <w:name w:val="Balloon Text"/>
    <w:basedOn w:val="Normal"/>
    <w:link w:val="BalloonTextChar"/>
    <w:uiPriority w:val="99"/>
    <w:semiHidden/>
    <w:unhideWhenUsed/>
    <w:rsid w:val="004253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300"/>
    <w:rPr>
      <w:rFonts w:ascii="Segoe UI" w:eastAsia="Times New Roman" w:hAnsi="Segoe UI" w:cs="Segoe UI"/>
      <w:sz w:val="18"/>
      <w:szCs w:val="18"/>
    </w:rPr>
  </w:style>
  <w:style w:type="paragraph" w:styleId="Header">
    <w:name w:val="header"/>
    <w:basedOn w:val="Normal"/>
    <w:link w:val="HeaderChar"/>
    <w:uiPriority w:val="99"/>
    <w:unhideWhenUsed/>
    <w:rsid w:val="00425300"/>
    <w:pPr>
      <w:tabs>
        <w:tab w:val="clear" w:pos="284"/>
        <w:tab w:val="clear" w:pos="567"/>
        <w:tab w:val="clear" w:pos="851"/>
        <w:tab w:val="clear" w:pos="1134"/>
        <w:tab w:val="center" w:pos="4513"/>
        <w:tab w:val="right" w:pos="9026"/>
      </w:tabs>
    </w:pPr>
  </w:style>
  <w:style w:type="character" w:customStyle="1" w:styleId="HeaderChar">
    <w:name w:val="Header Char"/>
    <w:basedOn w:val="DefaultParagraphFont"/>
    <w:link w:val="Header"/>
    <w:uiPriority w:val="99"/>
    <w:rsid w:val="0042530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25300"/>
    <w:pPr>
      <w:tabs>
        <w:tab w:val="clear" w:pos="284"/>
        <w:tab w:val="clear" w:pos="567"/>
        <w:tab w:val="clear" w:pos="851"/>
        <w:tab w:val="clear" w:pos="1134"/>
        <w:tab w:val="center" w:pos="4513"/>
        <w:tab w:val="right" w:pos="9026"/>
      </w:tabs>
    </w:pPr>
  </w:style>
  <w:style w:type="character" w:customStyle="1" w:styleId="FooterChar">
    <w:name w:val="Footer Char"/>
    <w:basedOn w:val="DefaultParagraphFont"/>
    <w:link w:val="Footer"/>
    <w:uiPriority w:val="99"/>
    <w:rsid w:val="0042530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Dika Hadzic</dc:creator>
  <cp:keywords/>
  <dc:description/>
  <cp:lastModifiedBy>Dika Hadzic</cp:lastModifiedBy>
  <cp:revision>3</cp:revision>
  <cp:lastPrinted>2018-05-15T23:26:00Z</cp:lastPrinted>
  <dcterms:created xsi:type="dcterms:W3CDTF">2018-09-20T23:02:00Z</dcterms:created>
  <dcterms:modified xsi:type="dcterms:W3CDTF">2018-09-20T23:33:00Z</dcterms:modified>
</cp:coreProperties>
</file>