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B6" w:rsidRDefault="005879B6" w:rsidP="005879B6">
      <w:pPr>
        <w:jc w:val="center"/>
        <w:rPr>
          <w:rFonts w:asciiTheme="minorHAnsi" w:hAnsiTheme="minorHAnsi"/>
          <w:b/>
          <w:color w:val="000000"/>
          <w:sz w:val="22"/>
          <w:szCs w:val="22"/>
        </w:rPr>
      </w:pPr>
      <w:r>
        <w:rPr>
          <w:rFonts w:asciiTheme="minorHAnsi" w:hAnsiTheme="minorHAnsi"/>
          <w:b/>
          <w:color w:val="000000"/>
          <w:sz w:val="22"/>
          <w:szCs w:val="22"/>
        </w:rPr>
        <w:t>EXEMPTION FROM ACCOUNTING OR AUDIT PROVISIONS</w:t>
      </w:r>
    </w:p>
    <w:p w:rsidR="005879B6" w:rsidRDefault="005879B6" w:rsidP="005879B6">
      <w:pPr>
        <w:jc w:val="center"/>
        <w:rPr>
          <w:rFonts w:asciiTheme="minorHAnsi" w:hAnsiTheme="minorHAnsi"/>
          <w:b/>
          <w:color w:val="000000"/>
          <w:sz w:val="22"/>
          <w:szCs w:val="22"/>
        </w:rPr>
      </w:pPr>
    </w:p>
    <w:p w:rsidR="005879B6" w:rsidRDefault="005879B6" w:rsidP="005879B6">
      <w:pPr>
        <w:jc w:val="center"/>
        <w:rPr>
          <w:rFonts w:asciiTheme="minorHAnsi" w:hAnsiTheme="minorHAnsi"/>
          <w:b/>
          <w:color w:val="000000"/>
          <w:sz w:val="22"/>
          <w:szCs w:val="22"/>
        </w:rPr>
      </w:pPr>
      <w:r>
        <w:rPr>
          <w:rFonts w:asciiTheme="minorHAnsi" w:hAnsiTheme="minorHAnsi"/>
          <w:b/>
          <w:color w:val="000000"/>
          <w:sz w:val="22"/>
          <w:szCs w:val="22"/>
        </w:rPr>
        <w:t xml:space="preserve">Exemption from whole or part of </w:t>
      </w:r>
      <w:r>
        <w:rPr>
          <w:rFonts w:asciiTheme="minorHAnsi" w:hAnsiTheme="minorHAnsi"/>
          <w:b/>
          <w:color w:val="000000"/>
          <w:sz w:val="24"/>
          <w:szCs w:val="24"/>
        </w:rPr>
        <w:t xml:space="preserve">subdivisions 3 and 4 of Division 6 of Part 11 of Chapter 12 </w:t>
      </w:r>
      <w:r>
        <w:rPr>
          <w:rFonts w:asciiTheme="minorHAnsi" w:hAnsiTheme="minorHAnsi"/>
          <w:b/>
          <w:color w:val="000000"/>
          <w:sz w:val="22"/>
          <w:szCs w:val="22"/>
        </w:rPr>
        <w:t>of the Act</w:t>
      </w:r>
    </w:p>
    <w:p w:rsidR="005879B6" w:rsidRDefault="005879B6" w:rsidP="005879B6">
      <w:pPr>
        <w:jc w:val="center"/>
        <w:rPr>
          <w:rFonts w:asciiTheme="minorHAnsi" w:hAnsiTheme="minorHAnsi"/>
          <w:b/>
          <w:color w:val="000000"/>
          <w:sz w:val="22"/>
          <w:szCs w:val="22"/>
        </w:rPr>
      </w:pPr>
    </w:p>
    <w:p w:rsidR="005879B6" w:rsidRDefault="005879B6" w:rsidP="005879B6">
      <w:pPr>
        <w:jc w:val="center"/>
        <w:rPr>
          <w:rFonts w:asciiTheme="minorHAnsi" w:hAnsiTheme="minorHAnsi"/>
          <w:b/>
          <w:color w:val="000000"/>
          <w:sz w:val="22"/>
          <w:szCs w:val="22"/>
        </w:rPr>
      </w:pPr>
      <w:r>
        <w:rPr>
          <w:rFonts w:asciiTheme="minorHAnsi" w:hAnsiTheme="minorHAnsi"/>
          <w:b/>
          <w:color w:val="000000"/>
          <w:sz w:val="22"/>
          <w:szCs w:val="22"/>
        </w:rPr>
        <w:t>FOR AN EMPLOYER ORGANISATION THAT IS A CORPORATION</w:t>
      </w:r>
    </w:p>
    <w:p w:rsidR="005879B6" w:rsidRDefault="005879B6" w:rsidP="005879B6">
      <w:pPr>
        <w:jc w:val="center"/>
        <w:rPr>
          <w:rFonts w:asciiTheme="minorHAnsi" w:hAnsiTheme="minorHAnsi"/>
          <w:color w:val="000000"/>
          <w:sz w:val="22"/>
          <w:szCs w:val="22"/>
        </w:rPr>
      </w:pPr>
    </w:p>
    <w:p w:rsidR="005879B6" w:rsidRDefault="005879B6" w:rsidP="005879B6">
      <w:pPr>
        <w:rPr>
          <w:rFonts w:asciiTheme="minorHAnsi" w:hAnsiTheme="minorHAnsi"/>
          <w:color w:val="000000"/>
          <w:sz w:val="22"/>
          <w:szCs w:val="22"/>
        </w:rPr>
      </w:pPr>
      <w:r>
        <w:rPr>
          <w:rFonts w:asciiTheme="minorHAnsi" w:hAnsiTheme="minorHAnsi"/>
          <w:color w:val="000000"/>
          <w:sz w:val="22"/>
          <w:szCs w:val="22"/>
        </w:rPr>
        <w:t>INDUSTRIAL RELATIONS ACT 2016 - SECTIONS 820, 821</w:t>
      </w:r>
    </w:p>
    <w:p w:rsidR="005879B6" w:rsidRDefault="005879B6" w:rsidP="005879B6">
      <w:pPr>
        <w:rPr>
          <w:rFonts w:asciiTheme="minorHAnsi" w:hAnsiTheme="minorHAnsi"/>
          <w:color w:val="000000"/>
          <w:sz w:val="22"/>
          <w:szCs w:val="22"/>
        </w:rPr>
      </w:pPr>
      <w:r>
        <w:rPr>
          <w:rFonts w:asciiTheme="minorHAnsi" w:hAnsiTheme="minorHAnsi"/>
          <w:color w:val="000000"/>
          <w:sz w:val="22"/>
          <w:szCs w:val="22"/>
        </w:rPr>
        <w:t>INDUSTRIAL RELATIONS REGULATION 2018 – SECTION 18</w:t>
      </w:r>
    </w:p>
    <w:p w:rsidR="005879B6" w:rsidRDefault="005879B6" w:rsidP="005879B6">
      <w:pPr>
        <w:rPr>
          <w:rFonts w:asciiTheme="minorHAnsi" w:hAnsiTheme="minorHAnsi"/>
          <w:color w:val="000000"/>
          <w:sz w:val="22"/>
          <w:szCs w:val="22"/>
        </w:rPr>
      </w:pPr>
      <w:r>
        <w:rPr>
          <w:rFonts w:asciiTheme="minorHAnsi" w:hAnsiTheme="minorHAnsi"/>
          <w:color w:val="000000"/>
          <w:sz w:val="22"/>
          <w:szCs w:val="22"/>
        </w:rPr>
        <w:t>INDUSTRIAL RELATIONS (TRIBUNAL) RULES 2011 – RULE 206</w:t>
      </w:r>
    </w:p>
    <w:p w:rsidR="005879B6" w:rsidRDefault="005879B6" w:rsidP="005879B6">
      <w:pPr>
        <w:rPr>
          <w:rFonts w:asciiTheme="minorHAnsi" w:hAnsi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489"/>
      </w:tblGrid>
      <w:tr w:rsidR="005879B6" w:rsidTr="005879B6">
        <w:tc>
          <w:tcPr>
            <w:tcW w:w="75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rPr>
              <w:t>Corporate status</w:t>
            </w:r>
          </w:p>
        </w:tc>
        <w:tc>
          <w:tcPr>
            <w:tcW w:w="14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rPr>
              <w:t>Reference</w:t>
            </w:r>
          </w:p>
        </w:tc>
      </w:tr>
      <w:tr w:rsidR="005879B6" w:rsidTr="005879B6">
        <w:trPr>
          <w:trHeight w:val="493"/>
        </w:trPr>
        <w:tc>
          <w:tcPr>
            <w:tcW w:w="7527"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b/>
                <w:bCs/>
                <w:color w:val="000000"/>
                <w:sz w:val="22"/>
                <w:szCs w:val="22"/>
              </w:rPr>
            </w:pPr>
            <w:r>
              <w:rPr>
                <w:rFonts w:asciiTheme="minorHAnsi" w:hAnsiTheme="minorHAnsi"/>
                <w:bCs/>
                <w:color w:val="000000"/>
                <w:sz w:val="22"/>
                <w:szCs w:val="22"/>
              </w:rPr>
              <w:t>The employer organisation must be a corporation -  see s 596 of IR Act 2016 for definition of a corporation</w:t>
            </w:r>
          </w:p>
        </w:tc>
        <w:tc>
          <w:tcPr>
            <w:tcW w:w="1489"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bCs/>
                <w:color w:val="000000"/>
                <w:sz w:val="22"/>
                <w:szCs w:val="22"/>
              </w:rPr>
              <w:t xml:space="preserve">s 820  </w:t>
            </w:r>
          </w:p>
        </w:tc>
      </w:tr>
    </w:tbl>
    <w:p w:rsidR="005879B6" w:rsidRDefault="005879B6" w:rsidP="005879B6">
      <w:pPr>
        <w:rPr>
          <w:rFonts w:asciiTheme="minorHAnsi" w:hAnsi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3"/>
        <w:gridCol w:w="1493"/>
      </w:tblGrid>
      <w:tr w:rsidR="005879B6" w:rsidTr="005879B6">
        <w:tc>
          <w:tcPr>
            <w:tcW w:w="75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rPr>
              <w:t>The application must be:</w:t>
            </w:r>
          </w:p>
        </w:tc>
        <w:tc>
          <w:tcPr>
            <w:tcW w:w="14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shd w:val="clear" w:color="auto" w:fill="DEEAF6" w:themeFill="accent1" w:themeFillTint="33"/>
              </w:rPr>
              <w:t>Reference</w:t>
            </w:r>
          </w:p>
        </w:tc>
      </w:tr>
      <w:tr w:rsidR="005879B6" w:rsidTr="005879B6">
        <w:tc>
          <w:tcPr>
            <w:tcW w:w="752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In the chapter 12 approved form.  (Form 56)</w:t>
            </w:r>
          </w:p>
        </w:tc>
        <w:tc>
          <w:tcPr>
            <w:tcW w:w="149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Rule 206(1)(a)</w:t>
            </w:r>
          </w:p>
        </w:tc>
      </w:tr>
      <w:tr w:rsidR="005879B6" w:rsidTr="005879B6">
        <w:tc>
          <w:tcPr>
            <w:tcW w:w="752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Accompanied by a copy of the most recent financial report, director’s report and auditor’s report lodged by the applicant under the corporations act or another law that imposes accounting and audit obligations on the organisation</w:t>
            </w:r>
          </w:p>
        </w:tc>
        <w:tc>
          <w:tcPr>
            <w:tcW w:w="149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Rule 206(1)(b)</w:t>
            </w:r>
          </w:p>
        </w:tc>
      </w:tr>
      <w:tr w:rsidR="005879B6" w:rsidTr="005879B6">
        <w:tc>
          <w:tcPr>
            <w:tcW w:w="752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Each copy mentioned in Rule 206(1</w:t>
            </w:r>
            <w:proofErr w:type="gramStart"/>
            <w:r>
              <w:rPr>
                <w:rFonts w:asciiTheme="minorHAnsi" w:hAnsiTheme="minorHAnsi"/>
                <w:color w:val="000000"/>
                <w:sz w:val="22"/>
                <w:szCs w:val="22"/>
              </w:rPr>
              <w:t>)(</w:t>
            </w:r>
            <w:proofErr w:type="gramEnd"/>
            <w:r>
              <w:rPr>
                <w:rFonts w:asciiTheme="minorHAnsi" w:hAnsiTheme="minorHAnsi"/>
                <w:color w:val="000000"/>
                <w:sz w:val="22"/>
                <w:szCs w:val="22"/>
              </w:rPr>
              <w:t xml:space="preserve">b) must be certified by the applicant’s president or secretary as a true copy of the most recent financial report, director’s report or auditor’s report lodged by the applicant under the Corporations Act or another stated law.  </w:t>
            </w:r>
          </w:p>
        </w:tc>
        <w:tc>
          <w:tcPr>
            <w:tcW w:w="149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Rule 206(2)</w:t>
            </w:r>
          </w:p>
        </w:tc>
      </w:tr>
      <w:tr w:rsidR="005879B6" w:rsidTr="005879B6">
        <w:tc>
          <w:tcPr>
            <w:tcW w:w="752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Must state the grounds on which it is made.</w:t>
            </w:r>
          </w:p>
        </w:tc>
        <w:tc>
          <w:tcPr>
            <w:tcW w:w="1493"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Regulation 18</w:t>
            </w:r>
          </w:p>
        </w:tc>
      </w:tr>
    </w:tbl>
    <w:p w:rsidR="005879B6" w:rsidRDefault="005879B6" w:rsidP="005879B6">
      <w:pPr>
        <w:rPr>
          <w:rFonts w:asciiTheme="minorHAnsi" w:hAnsi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8"/>
        <w:gridCol w:w="1488"/>
      </w:tblGrid>
      <w:tr w:rsidR="005879B6" w:rsidTr="005879B6">
        <w:tc>
          <w:tcPr>
            <w:tcW w:w="7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rPr>
              <w:t>The registrar may grant the exemption only if satisfied:</w:t>
            </w:r>
          </w:p>
        </w:tc>
        <w:tc>
          <w:tcPr>
            <w:tcW w:w="14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879B6" w:rsidRDefault="005879B6">
            <w:pPr>
              <w:rPr>
                <w:rFonts w:asciiTheme="minorHAnsi" w:hAnsiTheme="minorHAnsi"/>
                <w:b/>
                <w:color w:val="000000"/>
                <w:sz w:val="22"/>
                <w:szCs w:val="22"/>
              </w:rPr>
            </w:pPr>
            <w:r>
              <w:rPr>
                <w:rFonts w:asciiTheme="minorHAnsi" w:hAnsiTheme="minorHAnsi"/>
                <w:b/>
                <w:color w:val="000000"/>
                <w:sz w:val="22"/>
                <w:szCs w:val="22"/>
              </w:rPr>
              <w:t>Reference</w:t>
            </w:r>
          </w:p>
        </w:tc>
      </w:tr>
      <w:tr w:rsidR="005879B6" w:rsidTr="005879B6">
        <w:tc>
          <w:tcPr>
            <w:tcW w:w="7528" w:type="dxa"/>
            <w:tcBorders>
              <w:top w:val="single" w:sz="4" w:space="0" w:color="auto"/>
              <w:left w:val="single" w:sz="4" w:space="0" w:color="auto"/>
              <w:bottom w:val="single" w:sz="4" w:space="0" w:color="auto"/>
              <w:right w:val="single" w:sz="4" w:space="0" w:color="auto"/>
            </w:tcBorders>
            <w:hideMark/>
          </w:tcPr>
          <w:p w:rsidR="005879B6" w:rsidRDefault="005879B6">
            <w:pPr>
              <w:tabs>
                <w:tab w:val="clear" w:pos="284"/>
                <w:tab w:val="clear" w:pos="567"/>
                <w:tab w:val="left" w:pos="0"/>
              </w:tabs>
              <w:ind w:left="29"/>
              <w:rPr>
                <w:rFonts w:asciiTheme="minorHAnsi" w:hAnsiTheme="minorHAnsi"/>
                <w:color w:val="000000"/>
                <w:sz w:val="22"/>
                <w:szCs w:val="22"/>
              </w:rPr>
            </w:pPr>
            <w:r>
              <w:rPr>
                <w:rFonts w:asciiTheme="minorHAnsi" w:hAnsiTheme="minorHAnsi"/>
                <w:color w:val="000000"/>
                <w:sz w:val="22"/>
                <w:szCs w:val="22"/>
              </w:rPr>
              <w:t>Another act or law imposes accounting and audit obligations on the employer organisation that are an adequate substitute for each provision to be exempted; and</w:t>
            </w:r>
          </w:p>
        </w:tc>
        <w:tc>
          <w:tcPr>
            <w:tcW w:w="1488"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821(1)(a)</w:t>
            </w:r>
          </w:p>
        </w:tc>
      </w:tr>
      <w:tr w:rsidR="005879B6" w:rsidTr="005879B6">
        <w:tc>
          <w:tcPr>
            <w:tcW w:w="7528" w:type="dxa"/>
            <w:tcBorders>
              <w:top w:val="single" w:sz="4" w:space="0" w:color="auto"/>
              <w:left w:val="single" w:sz="4" w:space="0" w:color="auto"/>
              <w:bottom w:val="single" w:sz="4" w:space="0" w:color="auto"/>
              <w:right w:val="single" w:sz="4" w:space="0" w:color="auto"/>
            </w:tcBorders>
            <w:hideMark/>
          </w:tcPr>
          <w:p w:rsidR="005879B6" w:rsidRDefault="005879B6">
            <w:pPr>
              <w:tabs>
                <w:tab w:val="clear" w:pos="284"/>
                <w:tab w:val="clear" w:pos="567"/>
                <w:tab w:val="left" w:pos="0"/>
              </w:tabs>
              <w:ind w:left="29"/>
              <w:rPr>
                <w:rFonts w:asciiTheme="minorHAnsi" w:hAnsiTheme="minorHAnsi"/>
                <w:color w:val="000000"/>
                <w:sz w:val="22"/>
                <w:szCs w:val="22"/>
              </w:rPr>
            </w:pPr>
            <w:r>
              <w:rPr>
                <w:rFonts w:asciiTheme="minorHAnsi" w:hAnsiTheme="minorHAnsi"/>
                <w:color w:val="000000"/>
                <w:sz w:val="22"/>
                <w:szCs w:val="22"/>
              </w:rPr>
              <w:t>The organisation has complied with the provisions of the other act or law that correspond with or substantially correspond with each provision to be exempted; and</w:t>
            </w:r>
          </w:p>
        </w:tc>
        <w:tc>
          <w:tcPr>
            <w:tcW w:w="1488"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821(1)(b)</w:t>
            </w:r>
          </w:p>
        </w:tc>
      </w:tr>
      <w:tr w:rsidR="005879B6" w:rsidTr="005879B6">
        <w:tc>
          <w:tcPr>
            <w:tcW w:w="7528" w:type="dxa"/>
            <w:tcBorders>
              <w:top w:val="single" w:sz="4" w:space="0" w:color="auto"/>
              <w:left w:val="single" w:sz="4" w:space="0" w:color="auto"/>
              <w:bottom w:val="single" w:sz="4" w:space="0" w:color="auto"/>
              <w:right w:val="single" w:sz="4" w:space="0" w:color="auto"/>
            </w:tcBorders>
            <w:hideMark/>
          </w:tcPr>
          <w:p w:rsidR="005879B6" w:rsidRDefault="005879B6">
            <w:pPr>
              <w:tabs>
                <w:tab w:val="clear" w:pos="284"/>
                <w:tab w:val="clear" w:pos="567"/>
                <w:tab w:val="left" w:pos="0"/>
              </w:tabs>
              <w:ind w:left="29"/>
              <w:rPr>
                <w:rFonts w:asciiTheme="minorHAnsi" w:hAnsiTheme="minorHAnsi"/>
                <w:color w:val="000000"/>
                <w:sz w:val="22"/>
                <w:szCs w:val="22"/>
              </w:rPr>
            </w:pPr>
            <w:r>
              <w:rPr>
                <w:rFonts w:asciiTheme="minorHAnsi" w:hAnsiTheme="minorHAnsi"/>
                <w:color w:val="000000"/>
                <w:sz w:val="22"/>
                <w:szCs w:val="22"/>
              </w:rPr>
              <w:t>If the exemption is granted - the organisation will continue to be financially accountable to its members.</w:t>
            </w:r>
          </w:p>
        </w:tc>
        <w:tc>
          <w:tcPr>
            <w:tcW w:w="1488" w:type="dxa"/>
            <w:tcBorders>
              <w:top w:val="single" w:sz="4" w:space="0" w:color="auto"/>
              <w:left w:val="single" w:sz="4" w:space="0" w:color="auto"/>
              <w:bottom w:val="single" w:sz="4" w:space="0" w:color="auto"/>
              <w:right w:val="single" w:sz="4" w:space="0" w:color="auto"/>
            </w:tcBorders>
            <w:hideMark/>
          </w:tcPr>
          <w:p w:rsidR="005879B6" w:rsidRDefault="005879B6">
            <w:pPr>
              <w:rPr>
                <w:rFonts w:asciiTheme="minorHAnsi" w:hAnsiTheme="minorHAnsi"/>
                <w:color w:val="000000"/>
                <w:sz w:val="22"/>
                <w:szCs w:val="22"/>
              </w:rPr>
            </w:pPr>
            <w:r>
              <w:rPr>
                <w:rFonts w:asciiTheme="minorHAnsi" w:hAnsiTheme="minorHAnsi"/>
                <w:color w:val="000000"/>
                <w:sz w:val="22"/>
                <w:szCs w:val="22"/>
              </w:rPr>
              <w:t>821(1)(c)</w:t>
            </w:r>
          </w:p>
        </w:tc>
      </w:tr>
    </w:tbl>
    <w:p w:rsidR="005879B6" w:rsidRPr="005879B6" w:rsidRDefault="005879B6" w:rsidP="005879B6">
      <w:pPr>
        <w:spacing w:before="240" w:after="60"/>
        <w:ind w:left="284" w:hanging="284"/>
        <w:rPr>
          <w:rFonts w:asciiTheme="minorHAnsi" w:hAnsiTheme="minorHAnsi"/>
          <w:b/>
          <w:bCs/>
          <w:color w:val="000000"/>
          <w:sz w:val="10"/>
          <w:szCs w:val="22"/>
        </w:rPr>
      </w:pPr>
      <w:r>
        <w:rPr>
          <w:rFonts w:asciiTheme="minorHAnsi" w:hAnsiTheme="minorHAnsi"/>
          <w:b/>
          <w:bCs/>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879B6" w:rsidTr="005879B6">
        <w:trPr>
          <w:trHeight w:val="1182"/>
        </w:trPr>
        <w:tc>
          <w:tcPr>
            <w:tcW w:w="103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879B6" w:rsidRDefault="005879B6">
            <w:pPr>
              <w:spacing w:after="60"/>
              <w:jc w:val="left"/>
              <w:rPr>
                <w:rFonts w:asciiTheme="minorHAnsi" w:hAnsiTheme="minorHAnsi"/>
                <w:b/>
                <w:bCs/>
                <w:color w:val="000000"/>
                <w:sz w:val="22"/>
                <w:szCs w:val="22"/>
              </w:rPr>
            </w:pPr>
            <w:r>
              <w:rPr>
                <w:rFonts w:asciiTheme="minorHAnsi" w:hAnsiTheme="minorHAnsi"/>
                <w:b/>
                <w:bCs/>
                <w:color w:val="000000"/>
                <w:sz w:val="22"/>
                <w:szCs w:val="22"/>
              </w:rPr>
              <w:t xml:space="preserve">Note:  </w:t>
            </w:r>
          </w:p>
          <w:p w:rsidR="005879B6" w:rsidRDefault="005879B6">
            <w:pPr>
              <w:tabs>
                <w:tab w:val="clear" w:pos="284"/>
                <w:tab w:val="left" w:pos="29"/>
              </w:tabs>
              <w:spacing w:after="60"/>
              <w:jc w:val="left"/>
              <w:rPr>
                <w:rFonts w:asciiTheme="minorHAnsi" w:hAnsiTheme="minorHAnsi"/>
                <w:bCs/>
                <w:color w:val="000000"/>
                <w:sz w:val="22"/>
                <w:szCs w:val="22"/>
              </w:rPr>
            </w:pPr>
            <w:r>
              <w:rPr>
                <w:rFonts w:asciiTheme="minorHAnsi" w:hAnsiTheme="minorHAnsi"/>
                <w:bCs/>
                <w:color w:val="000000"/>
                <w:sz w:val="22"/>
                <w:szCs w:val="22"/>
              </w:rPr>
              <w:t>Section 821(2) of the Act states that an exemption remains in force for the period stated in it or, if no period is stated, until it is cancelled.</w:t>
            </w:r>
          </w:p>
          <w:p w:rsidR="005879B6" w:rsidRDefault="005879B6" w:rsidP="001573FD">
            <w:pPr>
              <w:pStyle w:val="ListParagraph"/>
              <w:numPr>
                <w:ilvl w:val="0"/>
                <w:numId w:val="1"/>
              </w:numPr>
              <w:tabs>
                <w:tab w:val="left" w:pos="0"/>
              </w:tabs>
              <w:spacing w:after="60"/>
              <w:ind w:left="454" w:hanging="425"/>
              <w:jc w:val="left"/>
              <w:rPr>
                <w:rFonts w:asciiTheme="minorHAnsi" w:hAnsiTheme="minorHAnsi"/>
                <w:color w:val="000000"/>
                <w:sz w:val="22"/>
                <w:szCs w:val="22"/>
              </w:rPr>
            </w:pPr>
            <w:r>
              <w:rPr>
                <w:rFonts w:asciiTheme="minorHAnsi" w:hAnsiTheme="minorHAnsi"/>
                <w:color w:val="000000"/>
                <w:sz w:val="22"/>
                <w:szCs w:val="22"/>
              </w:rPr>
              <w:t>After the registrar grants this application the Act places the following ongoing obligations on the organisation for each subsequent financial year –</w:t>
            </w:r>
          </w:p>
          <w:p w:rsidR="005879B6" w:rsidRDefault="005879B6">
            <w:pPr>
              <w:pStyle w:val="ListParagraph"/>
              <w:ind w:left="454" w:hanging="425"/>
              <w:jc w:val="left"/>
              <w:rPr>
                <w:rFonts w:asciiTheme="minorHAnsi" w:hAnsiTheme="minorHAnsi"/>
                <w:color w:val="000000"/>
                <w:sz w:val="22"/>
                <w:szCs w:val="22"/>
              </w:rPr>
            </w:pPr>
          </w:p>
          <w:p w:rsidR="005879B6" w:rsidRDefault="005879B6" w:rsidP="001573FD">
            <w:pPr>
              <w:pStyle w:val="ListParagraph"/>
              <w:numPr>
                <w:ilvl w:val="0"/>
                <w:numId w:val="2"/>
              </w:numPr>
              <w:tabs>
                <w:tab w:val="clear" w:pos="284"/>
                <w:tab w:val="clear" w:pos="567"/>
                <w:tab w:val="clear" w:pos="851"/>
                <w:tab w:val="left" w:pos="0"/>
                <w:tab w:val="left" w:pos="880"/>
              </w:tabs>
              <w:spacing w:after="60"/>
              <w:ind w:left="880" w:hanging="426"/>
              <w:jc w:val="left"/>
              <w:rPr>
                <w:rFonts w:asciiTheme="minorHAnsi" w:hAnsiTheme="minorHAnsi"/>
                <w:color w:val="000000"/>
                <w:sz w:val="22"/>
                <w:szCs w:val="22"/>
              </w:rPr>
            </w:pPr>
            <w:r>
              <w:rPr>
                <w:rFonts w:asciiTheme="minorHAnsi" w:hAnsiTheme="minorHAnsi"/>
                <w:color w:val="000000"/>
                <w:sz w:val="22"/>
                <w:szCs w:val="22"/>
              </w:rPr>
              <w:t xml:space="preserve">to give all members a copy of the financial, director’s and auditor’s reports </w:t>
            </w:r>
          </w:p>
          <w:p w:rsidR="005879B6" w:rsidRDefault="005879B6" w:rsidP="001573FD">
            <w:pPr>
              <w:pStyle w:val="ListParagraph"/>
              <w:numPr>
                <w:ilvl w:val="0"/>
                <w:numId w:val="2"/>
              </w:numPr>
              <w:tabs>
                <w:tab w:val="clear" w:pos="284"/>
                <w:tab w:val="clear" w:pos="567"/>
                <w:tab w:val="clear" w:pos="851"/>
                <w:tab w:val="left" w:pos="0"/>
                <w:tab w:val="left" w:pos="880"/>
              </w:tabs>
              <w:spacing w:after="60"/>
              <w:ind w:left="880" w:hanging="426"/>
              <w:jc w:val="left"/>
              <w:rPr>
                <w:rFonts w:asciiTheme="minorHAnsi" w:hAnsiTheme="minorHAnsi"/>
                <w:color w:val="000000"/>
                <w:sz w:val="22"/>
                <w:szCs w:val="22"/>
              </w:rPr>
            </w:pPr>
            <w:r>
              <w:rPr>
                <w:rFonts w:asciiTheme="minorHAnsi" w:hAnsiTheme="minorHAnsi"/>
                <w:color w:val="000000"/>
                <w:sz w:val="22"/>
                <w:szCs w:val="22"/>
              </w:rPr>
              <w:t>to present a copy of the financial, director’s and auditor’s reports to a meeting of members or the committee of management</w:t>
            </w:r>
          </w:p>
          <w:p w:rsidR="005879B6" w:rsidRDefault="005879B6" w:rsidP="001573FD">
            <w:pPr>
              <w:pStyle w:val="ListParagraph"/>
              <w:numPr>
                <w:ilvl w:val="0"/>
                <w:numId w:val="2"/>
              </w:numPr>
              <w:tabs>
                <w:tab w:val="clear" w:pos="284"/>
                <w:tab w:val="clear" w:pos="567"/>
                <w:tab w:val="clear" w:pos="851"/>
                <w:tab w:val="left" w:pos="0"/>
                <w:tab w:val="left" w:pos="880"/>
              </w:tabs>
              <w:spacing w:after="60"/>
              <w:ind w:left="880" w:hanging="426"/>
              <w:jc w:val="left"/>
              <w:rPr>
                <w:rFonts w:asciiTheme="minorHAnsi" w:hAnsiTheme="minorHAnsi"/>
                <w:color w:val="000000"/>
                <w:sz w:val="22"/>
                <w:szCs w:val="22"/>
              </w:rPr>
            </w:pPr>
            <w:r>
              <w:rPr>
                <w:rFonts w:asciiTheme="minorHAnsi" w:hAnsiTheme="minorHAnsi"/>
                <w:color w:val="000000"/>
                <w:sz w:val="22"/>
                <w:szCs w:val="22"/>
              </w:rPr>
              <w:t>to lodge a copy of the financial, director’s and auditor’s reports in the Registry with a statutory declaration of the designated officer stating that the audit report has been given to members and presented to a meeting of members.</w:t>
            </w:r>
          </w:p>
        </w:tc>
        <w:bookmarkStart w:id="0" w:name="_GoBack"/>
        <w:bookmarkEnd w:id="0"/>
      </w:tr>
    </w:tbl>
    <w:p w:rsidR="00B5300D" w:rsidRDefault="00B5300D" w:rsidP="005879B6"/>
    <w:sectPr w:rsidR="00B530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B6" w:rsidRDefault="005879B6" w:rsidP="005879B6">
      <w:r>
        <w:separator/>
      </w:r>
    </w:p>
  </w:endnote>
  <w:endnote w:type="continuationSeparator" w:id="0">
    <w:p w:rsidR="005879B6" w:rsidRDefault="005879B6" w:rsidP="0058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B6" w:rsidRDefault="005879B6" w:rsidP="005879B6">
      <w:r>
        <w:separator/>
      </w:r>
    </w:p>
  </w:footnote>
  <w:footnote w:type="continuationSeparator" w:id="0">
    <w:p w:rsidR="005879B6" w:rsidRDefault="005879B6" w:rsidP="00587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54DD7"/>
    <w:multiLevelType w:val="hybridMultilevel"/>
    <w:tmpl w:val="C1A6977A"/>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91969A3"/>
    <w:multiLevelType w:val="hybridMultilevel"/>
    <w:tmpl w:val="B6BCD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B6"/>
    <w:rsid w:val="004174EB"/>
    <w:rsid w:val="005879B6"/>
    <w:rsid w:val="0080215F"/>
    <w:rsid w:val="00B5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3D87ACA-D0B5-4E54-8F4D-EBF2111B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9B6"/>
    <w:pPr>
      <w:tabs>
        <w:tab w:val="left" w:pos="284"/>
        <w:tab w:val="left" w:pos="567"/>
        <w:tab w:val="left" w:pos="851"/>
        <w:tab w:val="left" w:pos="1134"/>
      </w:tabs>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9B6"/>
    <w:pPr>
      <w:ind w:left="720"/>
      <w:contextualSpacing/>
    </w:pPr>
  </w:style>
  <w:style w:type="paragraph" w:styleId="Header">
    <w:name w:val="header"/>
    <w:basedOn w:val="Normal"/>
    <w:link w:val="HeaderChar"/>
    <w:uiPriority w:val="99"/>
    <w:unhideWhenUsed/>
    <w:rsid w:val="005879B6"/>
    <w:pPr>
      <w:tabs>
        <w:tab w:val="clear" w:pos="284"/>
        <w:tab w:val="clear" w:pos="567"/>
        <w:tab w:val="clear" w:pos="851"/>
        <w:tab w:val="clear" w:pos="1134"/>
        <w:tab w:val="center" w:pos="4513"/>
        <w:tab w:val="right" w:pos="9026"/>
      </w:tabs>
    </w:pPr>
  </w:style>
  <w:style w:type="character" w:customStyle="1" w:styleId="HeaderChar">
    <w:name w:val="Header Char"/>
    <w:basedOn w:val="DefaultParagraphFont"/>
    <w:link w:val="Header"/>
    <w:uiPriority w:val="99"/>
    <w:rsid w:val="005879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79B6"/>
    <w:pPr>
      <w:tabs>
        <w:tab w:val="clear" w:pos="284"/>
        <w:tab w:val="clear" w:pos="567"/>
        <w:tab w:val="clear" w:pos="851"/>
        <w:tab w:val="clear" w:pos="1134"/>
        <w:tab w:val="center" w:pos="4513"/>
        <w:tab w:val="right" w:pos="9026"/>
      </w:tabs>
    </w:pPr>
  </w:style>
  <w:style w:type="character" w:customStyle="1" w:styleId="FooterChar">
    <w:name w:val="Footer Char"/>
    <w:basedOn w:val="DefaultParagraphFont"/>
    <w:link w:val="Footer"/>
    <w:uiPriority w:val="99"/>
    <w:rsid w:val="005879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7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 Hadzic</dc:creator>
  <cp:keywords/>
  <dc:description/>
  <cp:lastModifiedBy>Dika Hadzic</cp:lastModifiedBy>
  <cp:revision>3</cp:revision>
  <cp:lastPrinted>2018-05-15T05:08:00Z</cp:lastPrinted>
  <dcterms:created xsi:type="dcterms:W3CDTF">2018-09-20T23:20:00Z</dcterms:created>
  <dcterms:modified xsi:type="dcterms:W3CDTF">2018-09-20T23:32:00Z</dcterms:modified>
</cp:coreProperties>
</file>